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58235A" w:rsidRDefault="00A175F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right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>Załącznik nr 1 do umowy</w:t>
      </w:r>
    </w:p>
    <w:p w14:paraId="00000002" w14:textId="77777777" w:rsidR="0058235A" w:rsidRDefault="0058235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center"/>
        <w:rPr>
          <w:rFonts w:ascii="Calibri" w:eastAsia="Calibri" w:hAnsi="Calibri" w:cs="Calibri"/>
          <w:szCs w:val="22"/>
        </w:rPr>
      </w:pPr>
    </w:p>
    <w:p w14:paraId="00000003" w14:textId="77777777" w:rsidR="0058235A" w:rsidRDefault="0058235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center"/>
        <w:rPr>
          <w:rFonts w:ascii="Calibri" w:eastAsia="Calibri" w:hAnsi="Calibri" w:cs="Calibri"/>
          <w:szCs w:val="22"/>
        </w:rPr>
      </w:pPr>
    </w:p>
    <w:p w14:paraId="00000004" w14:textId="77777777" w:rsidR="0058235A" w:rsidRDefault="00A175F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center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b/>
          <w:bCs/>
          <w:szCs w:val="22"/>
        </w:rPr>
        <w:t>SZCZEGÓŁOWY OPIS PRZEDMIOTU ZAMÓWIENIA</w:t>
      </w:r>
    </w:p>
    <w:p w14:paraId="00000005" w14:textId="77777777" w:rsidR="0058235A" w:rsidRDefault="0058235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center"/>
        <w:rPr>
          <w:rFonts w:ascii="Calibri" w:eastAsia="Calibri" w:hAnsi="Calibri" w:cs="Calibri"/>
          <w:szCs w:val="22"/>
        </w:rPr>
      </w:pPr>
    </w:p>
    <w:p w14:paraId="00000006" w14:textId="77777777" w:rsidR="0058235A" w:rsidRDefault="00A175F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>Dostawa rur i elementów preizolowanych przeznaczonych dla robót budowlanych w zakresie:</w:t>
      </w:r>
    </w:p>
    <w:p w14:paraId="00000007" w14:textId="77777777" w:rsidR="0058235A" w:rsidRPr="00FF72C5" w:rsidRDefault="0058235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szCs w:val="22"/>
        </w:rPr>
      </w:pPr>
    </w:p>
    <w:p w14:paraId="00000008" w14:textId="7F938DB1" w:rsidR="0058235A" w:rsidRPr="00FF72C5" w:rsidRDefault="00FF72C5">
      <w:pPr>
        <w:spacing w:line="276" w:lineRule="auto"/>
        <w:ind w:left="0" w:hanging="2"/>
        <w:jc w:val="both"/>
        <w:rPr>
          <w:rFonts w:ascii="Calibri" w:eastAsia="Calibri" w:hAnsi="Calibri" w:cs="Calibri"/>
          <w:szCs w:val="22"/>
        </w:rPr>
      </w:pPr>
      <w:bookmarkStart w:id="0" w:name="_heading=h.2u6wntf" w:colFirst="0" w:colLast="0"/>
      <w:bookmarkEnd w:id="0"/>
      <w:r w:rsidRPr="00FF72C5">
        <w:rPr>
          <w:rFonts w:ascii="Calibri" w:eastAsia="Calibri" w:hAnsi="Calibri" w:cs="Calibri"/>
          <w:b/>
          <w:bCs/>
          <w:szCs w:val="22"/>
        </w:rPr>
        <w:t xml:space="preserve">Przebudowa i budowa osiedlowej sieci ciepłowniczej od komory J14/L6 wraz z przyłączami </w:t>
      </w:r>
      <w:r w:rsidRPr="00FF72C5">
        <w:rPr>
          <w:rFonts w:ascii="Calibri" w:eastAsia="Calibri" w:hAnsi="Calibri" w:cs="Calibri"/>
          <w:b/>
          <w:bCs/>
          <w:szCs w:val="22"/>
        </w:rPr>
        <w:br/>
        <w:t xml:space="preserve">do budynku przy ul. Kossutha 8 i 10 w Warszawie (Część I w zakresie działek ewidencyjnych nr </w:t>
      </w:r>
      <w:r w:rsidRPr="00FF72C5">
        <w:rPr>
          <w:rFonts w:asciiTheme="majorHAnsi" w:hAnsiTheme="majorHAnsi" w:cstheme="majorHAnsi"/>
          <w:b/>
          <w:bCs/>
          <w:szCs w:val="22"/>
        </w:rPr>
        <w:t>25 i 27 z obr. 6-11-10</w:t>
      </w:r>
      <w:r w:rsidRPr="00FF72C5">
        <w:rPr>
          <w:rFonts w:ascii="Calibri" w:eastAsia="Calibri" w:hAnsi="Calibri" w:cs="Calibri"/>
          <w:b/>
          <w:bCs/>
          <w:szCs w:val="22"/>
        </w:rPr>
        <w:t>).</w:t>
      </w:r>
    </w:p>
    <w:p w14:paraId="00000009" w14:textId="77777777" w:rsidR="0058235A" w:rsidRDefault="0058235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eastAsia="Arial"/>
          <w:sz w:val="20"/>
          <w:szCs w:val="20"/>
        </w:rPr>
      </w:pPr>
    </w:p>
    <w:p w14:paraId="0000000A" w14:textId="35236451" w:rsidR="0058235A" w:rsidRPr="00AA26D7" w:rsidRDefault="00A175F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Theme="majorHAnsi" w:eastAsia="Arial" w:hAnsiTheme="majorHAnsi" w:cstheme="majorHAnsi"/>
          <w:b/>
          <w:bCs/>
          <w:i/>
          <w:iCs/>
          <w:color w:val="222222"/>
          <w:szCs w:val="22"/>
        </w:rPr>
      </w:pPr>
      <w:r w:rsidRPr="00AA26D7">
        <w:rPr>
          <w:rFonts w:asciiTheme="majorHAnsi" w:eastAsia="Arial" w:hAnsiTheme="majorHAnsi" w:cstheme="majorHAnsi"/>
          <w:b/>
          <w:bCs/>
          <w:szCs w:val="22"/>
        </w:rPr>
        <w:t>W ramach projektu: </w:t>
      </w:r>
      <w:r w:rsidRPr="00AA26D7">
        <w:rPr>
          <w:rFonts w:asciiTheme="majorHAnsi" w:eastAsia="Arial" w:hAnsiTheme="majorHAnsi" w:cstheme="majorHAnsi"/>
          <w:b/>
          <w:bCs/>
          <w:i/>
          <w:iCs/>
          <w:color w:val="222222"/>
          <w:szCs w:val="22"/>
          <w:highlight w:val="white"/>
        </w:rPr>
        <w:t xml:space="preserve">Modernizacja systemu ciepłowniczego na terenie m. st. Warszawy w celu poprawy efektywności energetycznej na lata 2025-2029 - Etap </w:t>
      </w:r>
      <w:r w:rsidR="00AA26D7" w:rsidRPr="00AA26D7">
        <w:rPr>
          <w:rFonts w:asciiTheme="majorHAnsi" w:eastAsia="Arial" w:hAnsiTheme="majorHAnsi" w:cstheme="majorHAnsi"/>
          <w:b/>
          <w:bCs/>
          <w:i/>
          <w:iCs/>
          <w:color w:val="222222"/>
          <w:szCs w:val="22"/>
        </w:rPr>
        <w:t xml:space="preserve"> I</w:t>
      </w:r>
    </w:p>
    <w:p w14:paraId="29CC444E" w14:textId="77777777" w:rsidR="00AA26D7" w:rsidRDefault="00AA26D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szCs w:val="22"/>
        </w:rPr>
      </w:pPr>
    </w:p>
    <w:p w14:paraId="0000000B" w14:textId="77777777" w:rsidR="0058235A" w:rsidRDefault="00A175F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Calibri" w:eastAsia="Calibri" w:hAnsi="Calibri" w:cs="Calibri"/>
          <w:color w:val="00000A"/>
          <w:szCs w:val="22"/>
        </w:rPr>
      </w:pPr>
      <w:r>
        <w:rPr>
          <w:rFonts w:ascii="Calibri" w:eastAsia="Calibri" w:hAnsi="Calibri" w:cs="Calibri"/>
          <w:b/>
          <w:bCs/>
          <w:color w:val="00000A"/>
          <w:szCs w:val="22"/>
        </w:rPr>
        <w:t>Opis przedmiotu zamówienia</w:t>
      </w:r>
    </w:p>
    <w:p w14:paraId="0000000C" w14:textId="77777777" w:rsidR="0058235A" w:rsidRDefault="00A175F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>Przedmiotem zamówienia jest dostawa rur i elementów preizolowanych w płaszczu osłonowym HDPE, z rezystancyjnym systemem sygnalizacyjno-alarmowym zgodnym z systemem stosowanym w warszawskim systemie ciepłowniczym, przeznaczonych do stosowania  w warszawskim systemie ciepłowniczym.</w:t>
      </w:r>
    </w:p>
    <w:p w14:paraId="0000000D" w14:textId="77777777" w:rsidR="0058235A" w:rsidRDefault="0058235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Calibri" w:eastAsia="Calibri" w:hAnsi="Calibri" w:cs="Calibri"/>
          <w:szCs w:val="22"/>
        </w:rPr>
      </w:pPr>
    </w:p>
    <w:p w14:paraId="0000000E" w14:textId="77777777" w:rsidR="0058235A" w:rsidRDefault="00A175F2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="0" w:hanging="2"/>
        <w:jc w:val="both"/>
        <w:rPr>
          <w:rFonts w:ascii="Calibri" w:eastAsia="Calibri" w:hAnsi="Calibri" w:cs="Calibri"/>
          <w:color w:val="00000A"/>
          <w:szCs w:val="22"/>
        </w:rPr>
      </w:pPr>
      <w:r>
        <w:rPr>
          <w:rFonts w:ascii="Calibri" w:eastAsia="Calibri" w:hAnsi="Calibri" w:cs="Calibri"/>
          <w:color w:val="00000A"/>
          <w:szCs w:val="22"/>
        </w:rPr>
        <w:t xml:space="preserve">Oferent jest zobowiązany do dostarczenia rur i elementów preizolowanych wyszczególnionych w Załączniku nr 1 w terminie do 21 dni kalendarzowych od daty złożenia zamówienia przez odbiorcę upoważnionego przez Zamawiającego. Dostawę przewiduje się na teren budowy w rejonie adresu wskazanego w Załączniku 1 lub inne miejsce na terenie Warszawy uprzednio wskazane przez Wykonawcę sieci ciepłowniczej i zaakceptowane przez Zamawiającego. </w:t>
      </w:r>
    </w:p>
    <w:p w14:paraId="0000000F" w14:textId="04381CF2" w:rsidR="0058235A" w:rsidRDefault="00A175F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color w:val="222222"/>
          <w:szCs w:val="22"/>
          <w:highlight w:val="white"/>
          <w:u w:val="single"/>
        </w:rPr>
      </w:pPr>
      <w:r>
        <w:rPr>
          <w:rFonts w:ascii="Calibri" w:eastAsia="Calibri" w:hAnsi="Calibri" w:cs="Calibri"/>
          <w:b/>
          <w:bCs/>
          <w:color w:val="222222"/>
          <w:szCs w:val="22"/>
          <w:highlight w:val="white"/>
          <w:u w:val="single"/>
        </w:rPr>
        <w:t>Wszystkie materiały dostarczane przez Wykonawcę w ramach realizacji zamówienia powinny stanowić wyroby budowlane w rozumieniu właściwych przepisów, w szczególności ustawy z dnia 7 lipca 1994 r.</w:t>
      </w:r>
      <w:r>
        <w:rPr>
          <w:rFonts w:ascii="Calibri" w:eastAsia="Calibri" w:hAnsi="Calibri" w:cs="Calibri"/>
          <w:b/>
          <w:bCs/>
          <w:color w:val="222222"/>
          <w:szCs w:val="22"/>
          <w:u w:val="single"/>
        </w:rPr>
        <w:t xml:space="preserve"> Prawo budowlane </w:t>
      </w:r>
      <w:r w:rsidRPr="005B2D8B">
        <w:rPr>
          <w:rFonts w:ascii="Calibri" w:eastAsia="Calibri" w:hAnsi="Calibri" w:cs="Calibri"/>
          <w:b/>
          <w:bCs/>
          <w:color w:val="222222"/>
          <w:szCs w:val="22"/>
          <w:u w:val="single"/>
        </w:rPr>
        <w:t>(Dz. U. z 202</w:t>
      </w:r>
      <w:r w:rsidR="005B2D8B" w:rsidRPr="005B2D8B">
        <w:rPr>
          <w:rFonts w:ascii="Calibri" w:eastAsia="Calibri" w:hAnsi="Calibri" w:cs="Calibri"/>
          <w:b/>
          <w:bCs/>
          <w:color w:val="222222"/>
          <w:szCs w:val="22"/>
          <w:u w:val="single"/>
        </w:rPr>
        <w:t xml:space="preserve">5.418 t.j. </w:t>
      </w:r>
      <w:r w:rsidRPr="005B2D8B">
        <w:rPr>
          <w:rFonts w:ascii="Calibri" w:eastAsia="Calibri" w:hAnsi="Calibri" w:cs="Calibri"/>
          <w:b/>
          <w:bCs/>
          <w:color w:val="222222"/>
          <w:szCs w:val="22"/>
          <w:u w:val="single"/>
        </w:rPr>
        <w:t>z późń. zm.)</w:t>
      </w:r>
      <w:r>
        <w:rPr>
          <w:rFonts w:ascii="Calibri" w:eastAsia="Calibri" w:hAnsi="Calibri" w:cs="Calibri"/>
          <w:b/>
          <w:bCs/>
          <w:color w:val="222222"/>
          <w:szCs w:val="22"/>
          <w:u w:val="single"/>
        </w:rPr>
        <w:t xml:space="preserve"> oraz ustawy z dnia 16 kwietnia 2004 r. o wyrobach budowlanych </w:t>
      </w:r>
      <w:r w:rsidRPr="005B2D8B">
        <w:rPr>
          <w:rFonts w:ascii="Calibri" w:eastAsia="Calibri" w:hAnsi="Calibri" w:cs="Calibri"/>
          <w:b/>
          <w:bCs/>
          <w:color w:val="222222"/>
          <w:szCs w:val="22"/>
          <w:u w:val="single"/>
        </w:rPr>
        <w:t>(Dz. U. z 2021 r. poz. 1213 tekst jedn. z późń. zm.),</w:t>
      </w:r>
      <w:r>
        <w:rPr>
          <w:rFonts w:ascii="Calibri" w:eastAsia="Calibri" w:hAnsi="Calibri" w:cs="Calibri"/>
          <w:b/>
          <w:bCs/>
          <w:color w:val="222222"/>
          <w:szCs w:val="22"/>
          <w:u w:val="single"/>
        </w:rPr>
        <w:t xml:space="preserve"> </w:t>
      </w:r>
      <w:r>
        <w:rPr>
          <w:rFonts w:ascii="Calibri" w:eastAsia="Calibri" w:hAnsi="Calibri" w:cs="Calibri"/>
          <w:b/>
          <w:bCs/>
          <w:color w:val="222222"/>
          <w:szCs w:val="22"/>
          <w:highlight w:val="white"/>
          <w:u w:val="single"/>
        </w:rPr>
        <w:t>oraz spełniać przewidziane dla tych wyrobów wymagania.</w:t>
      </w:r>
    </w:p>
    <w:p w14:paraId="00000010" w14:textId="77777777" w:rsidR="0058235A" w:rsidRDefault="0058235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szCs w:val="22"/>
        </w:rPr>
      </w:pPr>
    </w:p>
    <w:p w14:paraId="00000011" w14:textId="77777777" w:rsidR="0058235A" w:rsidRDefault="00A175F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color w:val="00000A"/>
          <w:szCs w:val="22"/>
        </w:rPr>
      </w:pPr>
      <w:r>
        <w:rPr>
          <w:rFonts w:ascii="Calibri" w:eastAsia="Calibri" w:hAnsi="Calibri" w:cs="Calibri"/>
          <w:b/>
          <w:bCs/>
          <w:color w:val="00000A"/>
          <w:szCs w:val="22"/>
        </w:rPr>
        <w:t xml:space="preserve">Termin realizacji dostawy materiałów zostanie każdorazowo określony w Zamówieniu. </w:t>
      </w:r>
    </w:p>
    <w:p w14:paraId="00000012" w14:textId="77777777" w:rsidR="0058235A" w:rsidRDefault="0058235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color w:val="00000A"/>
          <w:szCs w:val="22"/>
        </w:rPr>
      </w:pPr>
    </w:p>
    <w:p w14:paraId="00000013" w14:textId="77777777" w:rsidR="0058235A" w:rsidRDefault="00A175F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color w:val="00000A"/>
          <w:szCs w:val="22"/>
        </w:rPr>
      </w:pPr>
      <w:r>
        <w:rPr>
          <w:rFonts w:ascii="Calibri" w:eastAsia="Calibri" w:hAnsi="Calibri" w:cs="Calibri"/>
          <w:b/>
          <w:bCs/>
          <w:color w:val="00000A"/>
          <w:szCs w:val="22"/>
        </w:rPr>
        <w:t xml:space="preserve">UWAGA! </w:t>
      </w:r>
    </w:p>
    <w:p w14:paraId="00000014" w14:textId="77777777" w:rsidR="0058235A" w:rsidRDefault="00A175F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color w:val="00000A"/>
          <w:szCs w:val="22"/>
        </w:rPr>
      </w:pPr>
      <w:r>
        <w:rPr>
          <w:rFonts w:ascii="Calibri" w:eastAsia="Calibri" w:hAnsi="Calibri" w:cs="Calibri"/>
          <w:b/>
          <w:bCs/>
          <w:color w:val="00000A"/>
          <w:szCs w:val="22"/>
        </w:rPr>
        <w:t>Materiały wymienione w Załączniku nr 1 stanowią propozycję  zamawianych materiałów.</w:t>
      </w:r>
    </w:p>
    <w:p w14:paraId="00000015" w14:textId="77777777" w:rsidR="0058235A" w:rsidRDefault="00A175F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>Oferta ma zawierać indywidualną wycenę na jednostkę miary rur i elementów preizolowanych występujących w w/w Załącznikach w dostosowaniu do schematu montażowego.</w:t>
      </w:r>
    </w:p>
    <w:p w14:paraId="00000016" w14:textId="77777777" w:rsidR="0058235A" w:rsidRDefault="00A175F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 xml:space="preserve">Zamawiający dopuszcza możliwość zamówienia materiałów dodatkowych, poza wymienionymi w Załączniku nr 1, a niezbędnych do prawidłowego wykonania i funkcjonowania sieci ciepłowniczej zadania zgodnie z zapisami umowy. W takim przypadku zostaną zastosowane jednostkowe ceny zakupu podane w ofercie i stanowiące załącznik do umowy. </w:t>
      </w:r>
    </w:p>
    <w:p w14:paraId="00000017" w14:textId="77777777" w:rsidR="0058235A" w:rsidRDefault="00A175F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 xml:space="preserve"> </w:t>
      </w:r>
    </w:p>
    <w:p w14:paraId="00000018" w14:textId="77777777" w:rsidR="0058235A" w:rsidRDefault="00A175F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 xml:space="preserve">Schemat montażowy sieci ciepłowniczej stanowiący Załącznik nr 2 stanowi rozwiązanie optymalne, dostosowane do zaprojektowanej trasy sieci ciepłowniczej oraz przyjętych rozwiązań projektowych i wytrzymałościowych. </w:t>
      </w:r>
      <w:r>
        <w:rPr>
          <w:rFonts w:ascii="Calibri" w:eastAsia="Calibri" w:hAnsi="Calibri" w:cs="Calibri"/>
          <w:b/>
          <w:bCs/>
          <w:szCs w:val="22"/>
        </w:rPr>
        <w:t xml:space="preserve">Wykonawca ma obowiązek dołączyć do oferty </w:t>
      </w:r>
      <w:r>
        <w:rPr>
          <w:rFonts w:ascii="Calibri" w:eastAsia="Calibri" w:hAnsi="Calibri" w:cs="Calibri"/>
          <w:b/>
          <w:bCs/>
          <w:szCs w:val="22"/>
          <w:u w:val="single"/>
        </w:rPr>
        <w:t>czytelny</w:t>
      </w:r>
      <w:r>
        <w:rPr>
          <w:rFonts w:ascii="Calibri" w:eastAsia="Calibri" w:hAnsi="Calibri" w:cs="Calibri"/>
          <w:b/>
          <w:bCs/>
          <w:szCs w:val="22"/>
        </w:rPr>
        <w:t xml:space="preserve"> schemat montażowy przeliczony i dostosowany do oferowanych materiałów preizolowanych umożliwiający zachowanie</w:t>
      </w:r>
      <w:r>
        <w:rPr>
          <w:rFonts w:ascii="Calibri" w:eastAsia="Calibri" w:hAnsi="Calibri" w:cs="Calibri"/>
          <w:szCs w:val="22"/>
        </w:rPr>
        <w:t xml:space="preserve"> </w:t>
      </w:r>
      <w:r>
        <w:rPr>
          <w:rFonts w:ascii="Calibri" w:eastAsia="Calibri" w:hAnsi="Calibri" w:cs="Calibri"/>
          <w:b/>
          <w:bCs/>
          <w:szCs w:val="22"/>
        </w:rPr>
        <w:lastRenderedPageBreak/>
        <w:t>geometrii sieci ciepłowniczej</w:t>
      </w:r>
      <w:r>
        <w:rPr>
          <w:rFonts w:ascii="Calibri" w:eastAsia="Calibri" w:hAnsi="Calibri" w:cs="Calibri"/>
          <w:szCs w:val="22"/>
        </w:rPr>
        <w:t xml:space="preserve">, bez zmiany trasy sieci ciepłowniczej i spełniające warunki wytrzymałościowe. Przy przeliczaniu schematów montażowych Wykonawca ma obowiązek dobrać i uwzględnić w ofercie materiały zapewniające zachowanie niezbędnych stref kompensacyjnych (poduszki, maty itp.). </w:t>
      </w:r>
    </w:p>
    <w:p w14:paraId="00000019" w14:textId="77777777" w:rsidR="0058235A" w:rsidRDefault="0058235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szCs w:val="22"/>
          <w:u w:val="single"/>
        </w:rPr>
      </w:pPr>
    </w:p>
    <w:p w14:paraId="0000001A" w14:textId="77777777" w:rsidR="0058235A" w:rsidRDefault="00A175F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b/>
          <w:bCs/>
          <w:szCs w:val="22"/>
          <w:u w:val="single"/>
        </w:rPr>
        <w:t>Podstawowym dokumentem do złożenia oferty jest czytelny schemat montażowy stanowiący Załącznik nr 2</w:t>
      </w:r>
    </w:p>
    <w:p w14:paraId="0000001B" w14:textId="77777777" w:rsidR="0058235A" w:rsidRDefault="0058235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szCs w:val="22"/>
        </w:rPr>
      </w:pPr>
    </w:p>
    <w:p w14:paraId="0000001C" w14:textId="77777777" w:rsidR="0058235A" w:rsidRDefault="00A175F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 xml:space="preserve">W przypadku oczywistych pomyłek w zestawieniu materiałów (Załącznik 1), należy go skorygować w oparciu o załączony schemat montażowy.            </w:t>
      </w:r>
    </w:p>
    <w:p w14:paraId="0000001D" w14:textId="77777777" w:rsidR="0058235A" w:rsidRDefault="00A175F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szCs w:val="22"/>
          <w:u w:val="single"/>
        </w:rPr>
      </w:pPr>
      <w:r>
        <w:rPr>
          <w:rFonts w:ascii="Calibri" w:eastAsia="Calibri" w:hAnsi="Calibri" w:cs="Calibri"/>
          <w:szCs w:val="22"/>
          <w:u w:val="single"/>
        </w:rPr>
        <w:t>Schemat montażowy opracowany przez Wykonawcę powinien być czytelny i wykonany przy uwzględnieniu: rozrysowania przewodu zasilającego, osi i przewodu powrotnego, zwymiarowania długości trasy do osi rurociągów, rozliczenia i podania długości elementów sieci dla minimum rurociągu zasilającego lub powrotnego, umiejscowienia i wyspecyfikowania stref kompensacyjnych.</w:t>
      </w:r>
    </w:p>
    <w:p w14:paraId="0000001E" w14:textId="77777777" w:rsidR="0058235A" w:rsidRDefault="00A175F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Calibri" w:eastAsia="Calibri" w:hAnsi="Calibri" w:cs="Calibri"/>
          <w:color w:val="00000A"/>
          <w:szCs w:val="22"/>
        </w:rPr>
      </w:pPr>
      <w:r>
        <w:rPr>
          <w:rFonts w:ascii="Calibri" w:eastAsia="Calibri" w:hAnsi="Calibri" w:cs="Calibri"/>
          <w:szCs w:val="22"/>
        </w:rPr>
        <w:t xml:space="preserve"> </w:t>
      </w:r>
    </w:p>
    <w:p w14:paraId="0000001F" w14:textId="77777777" w:rsidR="0058235A" w:rsidRDefault="00A175F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color w:val="00000A"/>
          <w:szCs w:val="22"/>
        </w:rPr>
        <w:t>Wszelka przekazywana dokumentacja musi być w języku polskim.</w:t>
      </w:r>
    </w:p>
    <w:p w14:paraId="00000020" w14:textId="77777777" w:rsidR="0058235A" w:rsidRDefault="0058235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szCs w:val="22"/>
        </w:rPr>
      </w:pPr>
    </w:p>
    <w:p w14:paraId="00000021" w14:textId="77777777" w:rsidR="0058235A" w:rsidRDefault="00A175F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color w:val="00000A"/>
          <w:szCs w:val="22"/>
        </w:rPr>
      </w:pPr>
      <w:r>
        <w:rPr>
          <w:rFonts w:ascii="Calibri" w:eastAsia="Calibri" w:hAnsi="Calibri" w:cs="Calibri"/>
          <w:b/>
          <w:bCs/>
          <w:color w:val="00000A"/>
          <w:szCs w:val="22"/>
        </w:rPr>
        <w:t xml:space="preserve">Wymagania formalne dla rur i elementów preizolowanych w płaszczu osłonowym HDPE </w:t>
      </w:r>
      <w:r>
        <w:rPr>
          <w:rFonts w:ascii="Calibri" w:eastAsia="Calibri" w:hAnsi="Calibri" w:cs="Calibri"/>
          <w:color w:val="00000A"/>
          <w:szCs w:val="22"/>
        </w:rPr>
        <w:t xml:space="preserve">wg opracowania </w:t>
      </w:r>
      <w:r>
        <w:rPr>
          <w:rFonts w:ascii="Calibri" w:eastAsia="Calibri" w:hAnsi="Calibri" w:cs="Calibri"/>
          <w:i/>
          <w:iCs/>
          <w:color w:val="00000A"/>
          <w:szCs w:val="22"/>
        </w:rPr>
        <w:t xml:space="preserve">„Eksploatacyjne wytyczne projektowania oraz wykonania rurociągów preizolowanych w osłonie PE-HD – Część I - Wymagania techniczne” – Załącznik nr 3 </w:t>
      </w:r>
      <w:r>
        <w:rPr>
          <w:rFonts w:ascii="Calibri" w:eastAsia="Calibri" w:hAnsi="Calibri" w:cs="Calibri"/>
          <w:color w:val="00000A"/>
          <w:szCs w:val="22"/>
        </w:rPr>
        <w:t xml:space="preserve"> oraz  „Specyfikacja techniczna: Rury i elementy preizolowane w osłonie PE-HD”</w:t>
      </w:r>
      <w:r>
        <w:rPr>
          <w:rFonts w:ascii="Calibri" w:eastAsia="Calibri" w:hAnsi="Calibri" w:cs="Calibri"/>
          <w:i/>
          <w:iCs/>
          <w:color w:val="00000A"/>
          <w:szCs w:val="22"/>
        </w:rPr>
        <w:t xml:space="preserve"> – Załącznik nr 3A</w:t>
      </w:r>
    </w:p>
    <w:p w14:paraId="00000022" w14:textId="77777777" w:rsidR="0058235A" w:rsidRDefault="0058235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right="-142" w:hanging="2"/>
        <w:jc w:val="both"/>
        <w:rPr>
          <w:rFonts w:ascii="Calibri" w:eastAsia="Calibri" w:hAnsi="Calibri" w:cs="Calibri"/>
          <w:szCs w:val="22"/>
        </w:rPr>
      </w:pPr>
    </w:p>
    <w:p w14:paraId="00000023" w14:textId="77777777" w:rsidR="0058235A" w:rsidRDefault="00A175F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right="17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 xml:space="preserve">Zamawiający dopuszcza rury i elementy preizolowane w płaszczu osłonowym HDPE z rezystancyjnym systemem sygnalizacyjno-alarmowym zgodnym z systemem stosowanym w warszawskiej sieci ciepłowniczej spełniające wymogi innych norm a posiadających cechy równoważne oraz standardy i parametry określone w przywoływanych w opracowaniach PN. </w:t>
      </w:r>
    </w:p>
    <w:p w14:paraId="00000024" w14:textId="77777777" w:rsidR="0058235A" w:rsidRDefault="0058235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right="17" w:hanging="2"/>
        <w:jc w:val="both"/>
        <w:rPr>
          <w:rFonts w:ascii="Calibri" w:eastAsia="Calibri" w:hAnsi="Calibri" w:cs="Calibri"/>
          <w:szCs w:val="22"/>
        </w:rPr>
      </w:pPr>
    </w:p>
    <w:p w14:paraId="00000025" w14:textId="77777777" w:rsidR="0058235A" w:rsidRDefault="00A175F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color w:val="00000A"/>
          <w:szCs w:val="22"/>
        </w:rPr>
      </w:pPr>
      <w:r>
        <w:rPr>
          <w:rFonts w:ascii="Calibri" w:eastAsia="Calibri" w:hAnsi="Calibri" w:cs="Calibri"/>
          <w:b/>
          <w:bCs/>
          <w:color w:val="00000A"/>
          <w:szCs w:val="22"/>
        </w:rPr>
        <w:t xml:space="preserve">Wytyczne wykonania rurociągów preizolowanych w płaszczu osłonowym HDPE </w:t>
      </w:r>
      <w:r>
        <w:rPr>
          <w:rFonts w:ascii="Calibri" w:eastAsia="Calibri" w:hAnsi="Calibri" w:cs="Calibri"/>
          <w:color w:val="00000A"/>
          <w:szCs w:val="22"/>
        </w:rPr>
        <w:t>wg opracowania</w:t>
      </w:r>
      <w:r>
        <w:rPr>
          <w:rFonts w:ascii="Calibri" w:eastAsia="Calibri" w:hAnsi="Calibri" w:cs="Calibri"/>
          <w:b/>
          <w:bCs/>
          <w:color w:val="00000A"/>
          <w:szCs w:val="22"/>
        </w:rPr>
        <w:t xml:space="preserve"> </w:t>
      </w:r>
      <w:r>
        <w:rPr>
          <w:rFonts w:ascii="Calibri" w:eastAsia="Calibri" w:hAnsi="Calibri" w:cs="Calibri"/>
          <w:i/>
          <w:iCs/>
          <w:color w:val="00000A"/>
          <w:szCs w:val="22"/>
        </w:rPr>
        <w:t>„Eksploatacyjne wytyczne projektowania oraz wykonania rurociągów preizolowanych w osłonie PE-HD – Część II – Projektowanie i montaż” - Załącznik 4,</w:t>
      </w:r>
      <w:r>
        <w:rPr>
          <w:rFonts w:ascii="Calibri" w:eastAsia="Calibri" w:hAnsi="Calibri" w:cs="Calibri"/>
          <w:b/>
          <w:bCs/>
          <w:color w:val="FF0000"/>
          <w:szCs w:val="22"/>
        </w:rPr>
        <w:t xml:space="preserve">  Dokumentacja przewiduje grubości ścianek zgodnie z wymaganiami na dzień sporządzenia projektu. Wykonawca ma obowiązek opracować ofertę zgodnie z aktualnymi wytycznymi Veolia.</w:t>
      </w:r>
    </w:p>
    <w:p w14:paraId="00000026" w14:textId="77777777" w:rsidR="0058235A" w:rsidRDefault="0058235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color w:val="00000A"/>
          <w:szCs w:val="22"/>
        </w:rPr>
      </w:pPr>
    </w:p>
    <w:p w14:paraId="00000027" w14:textId="77777777" w:rsidR="0058235A" w:rsidRDefault="00A175F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color w:val="00000A"/>
          <w:szCs w:val="22"/>
        </w:rPr>
      </w:pPr>
      <w:r>
        <w:rPr>
          <w:rFonts w:ascii="Calibri" w:eastAsia="Calibri" w:hAnsi="Calibri" w:cs="Calibri"/>
          <w:b/>
          <w:bCs/>
          <w:color w:val="00000A"/>
          <w:szCs w:val="22"/>
        </w:rPr>
        <w:t xml:space="preserve">Wymagania formalne na izolację </w:t>
      </w:r>
      <w:r>
        <w:rPr>
          <w:rFonts w:ascii="Calibri" w:eastAsia="Calibri" w:hAnsi="Calibri" w:cs="Calibri"/>
          <w:color w:val="00000A"/>
          <w:szCs w:val="22"/>
        </w:rPr>
        <w:t>wg.</w:t>
      </w:r>
      <w:r>
        <w:rPr>
          <w:rFonts w:ascii="Calibri" w:eastAsia="Calibri" w:hAnsi="Calibri" w:cs="Calibri"/>
          <w:i/>
          <w:iCs/>
          <w:color w:val="00000A"/>
          <w:szCs w:val="22"/>
        </w:rPr>
        <w:t xml:space="preserve"> „Wymagania techniczne oraz specyfikacja techniczna dla izolacji termicznych przeznaczonych do stosowania na rurociągach w.s.c. - Załącznik 5,</w:t>
      </w:r>
    </w:p>
    <w:p w14:paraId="00000028" w14:textId="77777777" w:rsidR="0058235A" w:rsidRDefault="0058235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eastAsia="Arial"/>
          <w:szCs w:val="22"/>
        </w:rPr>
      </w:pPr>
    </w:p>
    <w:p w14:paraId="00000029" w14:textId="77777777" w:rsidR="0058235A" w:rsidRDefault="0058235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color w:val="00000A"/>
          <w:szCs w:val="22"/>
        </w:rPr>
      </w:pPr>
    </w:p>
    <w:p w14:paraId="0000002A" w14:textId="77777777" w:rsidR="0058235A" w:rsidRDefault="00A175F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color w:val="00000A"/>
          <w:szCs w:val="22"/>
        </w:rPr>
      </w:pPr>
      <w:r>
        <w:rPr>
          <w:rFonts w:ascii="Calibri" w:eastAsia="Calibri" w:hAnsi="Calibri" w:cs="Calibri"/>
          <w:b/>
          <w:bCs/>
          <w:color w:val="00000A"/>
          <w:szCs w:val="22"/>
        </w:rPr>
        <w:t xml:space="preserve">Wymagania formalne na kurki kulowe wysokoparametrowe </w:t>
      </w:r>
      <w:r>
        <w:rPr>
          <w:rFonts w:ascii="Calibri" w:eastAsia="Calibri" w:hAnsi="Calibri" w:cs="Calibri"/>
          <w:color w:val="00000A"/>
          <w:szCs w:val="22"/>
        </w:rPr>
        <w:t>wg.</w:t>
      </w:r>
      <w:r>
        <w:rPr>
          <w:rFonts w:ascii="Calibri" w:eastAsia="Calibri" w:hAnsi="Calibri" w:cs="Calibri"/>
          <w:i/>
          <w:iCs/>
          <w:color w:val="00000A"/>
          <w:szCs w:val="22"/>
        </w:rPr>
        <w:t xml:space="preserve"> „Wymagań technicznych oraz specyfikacji technicznej dla kurków kulowych przeznaczonych do montażu w w.s.c.” – Załącznik nr 6 ,</w:t>
      </w:r>
    </w:p>
    <w:p w14:paraId="0000002B" w14:textId="77777777" w:rsidR="0058235A" w:rsidRDefault="0058235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color w:val="00000A"/>
          <w:szCs w:val="22"/>
        </w:rPr>
      </w:pPr>
    </w:p>
    <w:p w14:paraId="0000002D" w14:textId="70A6A830" w:rsidR="0058235A" w:rsidRDefault="00A175F2" w:rsidP="00AA26D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color w:val="00000A"/>
          <w:szCs w:val="22"/>
        </w:rPr>
      </w:pPr>
      <w:r>
        <w:rPr>
          <w:rFonts w:ascii="Calibri" w:eastAsia="Calibri" w:hAnsi="Calibri" w:cs="Calibri"/>
          <w:b/>
          <w:bCs/>
          <w:color w:val="00000A"/>
          <w:szCs w:val="22"/>
        </w:rPr>
        <w:t xml:space="preserve">Wymagania formalne na przepustnice zaporowo- regulujące wg. </w:t>
      </w:r>
      <w:r>
        <w:rPr>
          <w:rFonts w:ascii="Calibri" w:eastAsia="Calibri" w:hAnsi="Calibri" w:cs="Calibri"/>
          <w:color w:val="00000A"/>
          <w:szCs w:val="22"/>
        </w:rPr>
        <w:t>„</w:t>
      </w:r>
      <w:r>
        <w:rPr>
          <w:rFonts w:ascii="Calibri" w:eastAsia="Calibri" w:hAnsi="Calibri" w:cs="Calibri"/>
          <w:i/>
          <w:iCs/>
          <w:color w:val="00000A"/>
          <w:szCs w:val="22"/>
        </w:rPr>
        <w:t>Wymagań technicznych oraz specyfikacji technicznej dla przepustnic zaporowo-</w:t>
      </w:r>
      <w:r w:rsidR="003720BF">
        <w:rPr>
          <w:rFonts w:ascii="Calibri" w:eastAsia="Calibri" w:hAnsi="Calibri" w:cs="Calibri"/>
          <w:i/>
          <w:iCs/>
          <w:color w:val="00000A"/>
          <w:szCs w:val="22"/>
        </w:rPr>
        <w:t>regulujących</w:t>
      </w:r>
      <w:r>
        <w:rPr>
          <w:rFonts w:ascii="Calibri" w:eastAsia="Calibri" w:hAnsi="Calibri" w:cs="Calibri"/>
          <w:i/>
          <w:iCs/>
          <w:color w:val="00000A"/>
          <w:szCs w:val="22"/>
        </w:rPr>
        <w:t xml:space="preserve"> przeznaczonych do montażu w w.s.c.” – Załącznik 7 - oraz „Wymagań technicznych dla armatury zaporowej i regulującej przeznaczonej do montażu w wysokoparametrowych rurociągach wodnych w.s.c.” – Załącznik 8.</w:t>
      </w:r>
    </w:p>
    <w:p w14:paraId="408D8689" w14:textId="77777777" w:rsidR="00AA26D7" w:rsidRDefault="00AA26D7" w:rsidP="00AA26D7">
      <w:pPr>
        <w:pStyle w:val="Akapitzlist"/>
        <w:ind w:left="0" w:hanging="2"/>
        <w:rPr>
          <w:rFonts w:ascii="Calibri" w:eastAsia="Calibri" w:hAnsi="Calibri" w:cs="Calibri"/>
          <w:color w:val="00000A"/>
          <w:szCs w:val="22"/>
        </w:rPr>
      </w:pPr>
    </w:p>
    <w:p w14:paraId="59D7A2CD" w14:textId="106F1D79" w:rsidR="00AA26D7" w:rsidRDefault="00AA26D7" w:rsidP="00AA26D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Chars="0" w:left="0" w:firstLineChars="0" w:firstLine="0"/>
        <w:jc w:val="both"/>
        <w:rPr>
          <w:rFonts w:ascii="Calibri" w:eastAsia="Calibri" w:hAnsi="Calibri" w:cs="Calibri"/>
          <w:color w:val="00000A"/>
          <w:szCs w:val="22"/>
        </w:rPr>
      </w:pPr>
    </w:p>
    <w:p w14:paraId="11CA6D6C" w14:textId="77777777" w:rsidR="00AA26D7" w:rsidRPr="00AA26D7" w:rsidRDefault="00AA26D7" w:rsidP="00AA26D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Chars="0" w:left="0" w:firstLineChars="0" w:firstLine="0"/>
        <w:jc w:val="both"/>
        <w:rPr>
          <w:rFonts w:ascii="Calibri" w:eastAsia="Calibri" w:hAnsi="Calibri" w:cs="Calibri"/>
          <w:color w:val="00000A"/>
          <w:szCs w:val="22"/>
        </w:rPr>
      </w:pPr>
    </w:p>
    <w:p w14:paraId="0000002E" w14:textId="77777777" w:rsidR="0058235A" w:rsidRDefault="0058235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color w:val="00000A"/>
          <w:szCs w:val="22"/>
        </w:rPr>
      </w:pPr>
      <w:bookmarkStart w:id="1" w:name="_heading=h.gjdgxs" w:colFirst="0" w:colLast="0"/>
      <w:bookmarkEnd w:id="1"/>
    </w:p>
    <w:p w14:paraId="0000002F" w14:textId="77777777" w:rsidR="0058235A" w:rsidRDefault="00A175F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color w:val="00000A"/>
          <w:szCs w:val="22"/>
        </w:rPr>
      </w:pPr>
      <w:r>
        <w:rPr>
          <w:rFonts w:ascii="Calibri" w:eastAsia="Calibri" w:hAnsi="Calibri" w:cs="Calibri"/>
          <w:b/>
          <w:bCs/>
          <w:color w:val="00000A"/>
          <w:szCs w:val="22"/>
        </w:rPr>
        <w:t>Specyfikacja techniczna - rury i elementy preizolowane w osłonie PE-HD</w:t>
      </w:r>
    </w:p>
    <w:p w14:paraId="00000030" w14:textId="77777777" w:rsidR="0058235A" w:rsidRDefault="0058235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Calibri" w:eastAsia="Calibri" w:hAnsi="Calibri" w:cs="Calibri"/>
          <w:szCs w:val="22"/>
        </w:rPr>
      </w:pPr>
    </w:p>
    <w:p w14:paraId="00000031" w14:textId="77777777" w:rsidR="0058235A" w:rsidRDefault="00A175F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>Specyfikacja „Rury i elementy preizolowane w osłonie PE-HD” stanowiąca Załącznik nr 3A, obejmuje wymagania formalne przy składaniu ofert oraz przy dostawach w ramach przetargów organizowanych przez Veolia Energia Warszawa S.A., na zakup rur i elementów preizolowanych w osłonie PE-HD, przeznaczonych do stosowania w warszawskim systemie ciepłowniczym.</w:t>
      </w:r>
    </w:p>
    <w:p w14:paraId="00000032" w14:textId="77777777" w:rsidR="0058235A" w:rsidRDefault="00A175F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 xml:space="preserve">Oferent jest zobowiązany do dostarczenia rur i elementów preizolowanych wykonanych zgodnie z </w:t>
      </w:r>
      <w:r>
        <w:rPr>
          <w:rFonts w:ascii="Calibri" w:eastAsia="Calibri" w:hAnsi="Calibri" w:cs="Calibri"/>
          <w:color w:val="00000A"/>
          <w:szCs w:val="22"/>
        </w:rPr>
        <w:t>Eksploatacyjnymi wytycznymi projektowania oraz wykonania rurociągów preizolowanych w osłonie PE-HD – Część I - Wymagania techniczne</w:t>
      </w:r>
      <w:r>
        <w:rPr>
          <w:rFonts w:ascii="Calibri" w:eastAsia="Calibri" w:hAnsi="Calibri" w:cs="Calibri"/>
          <w:szCs w:val="22"/>
        </w:rPr>
        <w:t xml:space="preserve"> stanowiącymi Załącznik nr 3.</w:t>
      </w:r>
    </w:p>
    <w:p w14:paraId="00000033" w14:textId="77777777" w:rsidR="0058235A" w:rsidRDefault="00A175F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szCs w:val="22"/>
          <w:u w:val="single"/>
        </w:rPr>
      </w:pPr>
      <w:r>
        <w:rPr>
          <w:rFonts w:ascii="Calibri" w:eastAsia="Calibri" w:hAnsi="Calibri" w:cs="Calibri"/>
          <w:szCs w:val="22"/>
          <w:u w:val="single"/>
        </w:rPr>
        <w:t>Wykaz dokumentów wymaganych przy składaniu oferty na zakup rur i elementów preizolowanych:</w:t>
      </w:r>
    </w:p>
    <w:p w14:paraId="00000034" w14:textId="77777777" w:rsidR="0058235A" w:rsidRDefault="00A175F2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 xml:space="preserve"> Krajowe deklaracje właściwości użytkowych (KDWU)· na wyroby objęte postępowaniem (rury preizolowane, kształtki preizolowane, armatura preizolowana).</w:t>
      </w:r>
    </w:p>
    <w:p w14:paraId="00000035" w14:textId="77777777" w:rsidR="0058235A" w:rsidRDefault="00A175F2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 xml:space="preserve"> Deklaracja określająca system surowcowy zastosowany do produkcji pianki PUR.</w:t>
      </w:r>
    </w:p>
    <w:p w14:paraId="00000036" w14:textId="77777777" w:rsidR="0058235A" w:rsidRDefault="00A175F2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 xml:space="preserve"> Sprawozdanie z badania współczynnika przewodzenia przed starzeniem przeprowadzonego przez akredytowane laboratorium badawcze na aparacie rurowym, zgodnie z PN-EN 253, dla zadeklarowanego systemu surowcowego.</w:t>
      </w:r>
    </w:p>
    <w:p w14:paraId="00000037" w14:textId="77777777" w:rsidR="0058235A" w:rsidRDefault="00A175F2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 xml:space="preserve"> Sprawozdanie z badań przeprowadzonych przez akredytowane laboratorium potwierdzające właściwości użytkowe rur preizolowanych w ciągu 30 letniej eksploatacji w ciągłej temperaturze pracy 120°C (sprawozdanie z badań ścinania osiowego po starzeniu w temperaturze 170°C przez 1450 godz. lub w temperaturze 160°C przez 3600 godz.), dla zadeklarowanego systemu surowcowego.</w:t>
      </w:r>
    </w:p>
    <w:p w14:paraId="00000038" w14:textId="77777777" w:rsidR="0058235A" w:rsidRDefault="00A175F2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 xml:space="preserve"> Deklaracja określająca producenta oraz materiał, z którego wykonana jest osłona PE-HD wraz z aktualnym (nie starszym, niż pół roku, licząc od dnia złożenia dokumentu) świadectwem odbioru 3.1 granulatu.</w:t>
      </w:r>
    </w:p>
    <w:p w14:paraId="00000039" w14:textId="77777777" w:rsidR="0058235A" w:rsidRDefault="00A175F2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 xml:space="preserve"> Deklaracja określająca wymiary geometryczne (średnicę i grubość ścianki) rury przewodowej i osłony PE-HD w funkcji DN rur preizolowanych objętych dostawą.</w:t>
      </w:r>
    </w:p>
    <w:p w14:paraId="0000003A" w14:textId="77777777" w:rsidR="0058235A" w:rsidRDefault="00A175F2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 xml:space="preserve"> Dokumenty dotyczące wszystkich typów złączy preizolowanych objętych ofertą (również złączy zgrzewanych elektrycznie, kolanowych i redukcyjnych, jeśli występują):</w:t>
      </w:r>
    </w:p>
    <w:p w14:paraId="0000003B" w14:textId="77777777" w:rsidR="0058235A" w:rsidRDefault="00A175F2">
      <w:pPr>
        <w:numPr>
          <w:ilvl w:val="2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>Krajowa deklaracja właściwości użytkowych na dany typ złącza.</w:t>
      </w:r>
    </w:p>
    <w:p w14:paraId="0000003C" w14:textId="77777777" w:rsidR="0058235A" w:rsidRDefault="00A175F2">
      <w:pPr>
        <w:numPr>
          <w:ilvl w:val="2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>Sprawozdanie z badań typu złącza przeprowadzonych przez akredytowane laboratorium zgodnie z normą PN-EN 489-1:2020-01.</w:t>
      </w:r>
    </w:p>
    <w:p w14:paraId="0000003D" w14:textId="661412B3" w:rsidR="0058235A" w:rsidRDefault="00A175F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 xml:space="preserve">Sprawozdanie </w:t>
      </w:r>
      <w:r w:rsidR="00853DD9">
        <w:rPr>
          <w:rFonts w:ascii="Calibri" w:eastAsia="Calibri" w:hAnsi="Calibri" w:cs="Calibri"/>
          <w:szCs w:val="22"/>
        </w:rPr>
        <w:t>powinno</w:t>
      </w:r>
      <w:r>
        <w:rPr>
          <w:rFonts w:ascii="Calibri" w:eastAsia="Calibri" w:hAnsi="Calibri" w:cs="Calibri"/>
          <w:szCs w:val="22"/>
        </w:rPr>
        <w:t xml:space="preserve"> zawierać dokumentację fotograficzną, która jest jego integralną częścią.</w:t>
      </w:r>
    </w:p>
    <w:p w14:paraId="0000003E" w14:textId="77777777" w:rsidR="0058235A" w:rsidRDefault="00A175F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>W przypadku, gdy producent złączy nie jest producentem rur preizolowanych dopuszcza się, aby wyniki badań pianki PUR ze złączy zawarte były w odrębnym sprawozdaniu.</w:t>
      </w:r>
    </w:p>
    <w:p w14:paraId="00000040" w14:textId="01BEB31A" w:rsidR="0058235A" w:rsidRPr="00853DD9" w:rsidRDefault="00A175F2" w:rsidP="00853DD9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 xml:space="preserve"> W przypadku, gdy oferta obejmuje złącza zgrzewane elektrycznie, producent </w:t>
      </w:r>
      <w:r w:rsidR="00853DD9">
        <w:rPr>
          <w:rFonts w:ascii="Calibri" w:eastAsia="Calibri" w:hAnsi="Calibri" w:cs="Calibri"/>
          <w:szCs w:val="22"/>
        </w:rPr>
        <w:t xml:space="preserve">powinien </w:t>
      </w:r>
      <w:r w:rsidRPr="00853DD9">
        <w:rPr>
          <w:rFonts w:ascii="Calibri" w:eastAsia="Calibri" w:hAnsi="Calibri" w:cs="Calibri"/>
          <w:szCs w:val="22"/>
        </w:rPr>
        <w:t>załączyć deklarację określającą:</w:t>
      </w:r>
    </w:p>
    <w:p w14:paraId="00000041" w14:textId="77777777" w:rsidR="0058235A" w:rsidRDefault="00A175F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>- materiał, z którego wykonane są mufy,</w:t>
      </w:r>
    </w:p>
    <w:p w14:paraId="00000042" w14:textId="77777777" w:rsidR="0058235A" w:rsidRDefault="00A175F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>- gęstość i MFR tego materiału,</w:t>
      </w:r>
    </w:p>
    <w:p w14:paraId="00000043" w14:textId="77777777" w:rsidR="0058235A" w:rsidRDefault="00A175F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>- sprawozdanie z badań obciążenia od gruntu (w skrzyni z piaskiem), potwierdzające wytrzymałość złącza na obciążenia siłami osiowymi, powstającymi przy osiowym przemieszczaniu rury w gruncie.</w:t>
      </w:r>
    </w:p>
    <w:p w14:paraId="00000044" w14:textId="77777777" w:rsidR="0058235A" w:rsidRPr="00AA26D7" w:rsidRDefault="00A175F2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color w:val="auto"/>
          <w:szCs w:val="22"/>
        </w:rPr>
      </w:pPr>
      <w:r w:rsidRPr="00AA26D7">
        <w:rPr>
          <w:rFonts w:ascii="Calibri" w:eastAsia="Calibri" w:hAnsi="Calibri" w:cs="Calibri"/>
          <w:color w:val="auto"/>
          <w:szCs w:val="22"/>
        </w:rPr>
        <w:t>W przypadku, gdy oferta obejmuje dostawę mat kompensacyjnych - sprawozdanie z badań maty kompensacyjnej z polietylenu sieciowanego PE-X wykonanych w akredytowanym laboratorium (zgodnie z EKSPLOATACYJNYMI WYTYCZNYMI PROJEKTOWANIA ORAZ WYKONYWANIA RUROCIĄGÓW PREIZOLOWANYCH W OSŁONIE PE-HD CZĘŚĆ I: WYMAGANIA TECHNICZNE).</w:t>
      </w:r>
    </w:p>
    <w:p w14:paraId="00000045" w14:textId="77777777" w:rsidR="0058235A" w:rsidRDefault="00A175F2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 xml:space="preserve">W przypadku , gdy oferta obejmuje złącza sieciowane radiacyjnie, producent powinien załączyć deklarację określającą stopień sieciowania osłon złączy (wymagany minimalny stopień usieciowania: 40 %, maksymalny stopień usieciowania 55 %)  </w:t>
      </w:r>
    </w:p>
    <w:p w14:paraId="00000046" w14:textId="77777777" w:rsidR="0058235A" w:rsidRDefault="00A175F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>Wykaz dokumentów wymaganych wraz z dostawą materiałów preizolowanych:</w:t>
      </w:r>
    </w:p>
    <w:p w14:paraId="00000047" w14:textId="77777777" w:rsidR="0058235A" w:rsidRDefault="00A175F2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>Świadectwo odbioru 3.1 wg PN-EN 10204 stalowych rur przewodowych.</w:t>
      </w:r>
    </w:p>
    <w:p w14:paraId="00000048" w14:textId="77777777" w:rsidR="0058235A" w:rsidRDefault="00A175F2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>Instrukcja przenoszenia i składowania materiałów preizolowanych.</w:t>
      </w:r>
    </w:p>
    <w:p w14:paraId="00000049" w14:textId="77777777" w:rsidR="0058235A" w:rsidRDefault="00A175F2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>KDWU na dostarczane wyroby</w:t>
      </w:r>
    </w:p>
    <w:p w14:paraId="0000004A" w14:textId="77777777" w:rsidR="0058235A" w:rsidRDefault="00A175F2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lastRenderedPageBreak/>
        <w:t>W przypadku złączy zgrzewanych elektrycznie świadectwo odbioru 3.1 wg PN-EN 10204 płyt polietylenowych, z których wykonane są złącza.</w:t>
      </w:r>
    </w:p>
    <w:p w14:paraId="0000004B" w14:textId="77777777" w:rsidR="0058235A" w:rsidRPr="00AA26D7" w:rsidRDefault="00A175F2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color w:val="auto"/>
          <w:szCs w:val="22"/>
        </w:rPr>
      </w:pPr>
      <w:r w:rsidRPr="00AA26D7">
        <w:rPr>
          <w:rFonts w:ascii="Calibri" w:eastAsia="Calibri" w:hAnsi="Calibri" w:cs="Calibri"/>
          <w:color w:val="auto"/>
          <w:szCs w:val="22"/>
        </w:rPr>
        <w:t>W przypadku, gdy oferta obejmuje dostawę mat kompensacyjnych - sprawozdanie z badań maty kompensacyjnej z polietylenu sieciowanego PE-X wykonanych w akredytowanym laboratorium (zgodnie z EKSPLOATACYJNYMI WYTYCZNYMI PROJEKTOWANIA ORAZ WYKONYWANIA RUROCIĄGÓW PREIZOLOWANYCH W OSŁONIE PE-HD CZĘŚĆ I: WYMAGANIA TECHNICZNE).</w:t>
      </w:r>
    </w:p>
    <w:p w14:paraId="0000004C" w14:textId="77777777" w:rsidR="0058235A" w:rsidRDefault="00A175F2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>Instrukcja montażu złączy preizolowanych.</w:t>
      </w:r>
    </w:p>
    <w:p w14:paraId="0000004D" w14:textId="77777777" w:rsidR="0058235A" w:rsidRDefault="00A175F2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>Wytyczne montażu systemu rur preizolowanych objętego ofertą.</w:t>
      </w:r>
    </w:p>
    <w:p w14:paraId="0000004E" w14:textId="77777777" w:rsidR="0058235A" w:rsidRDefault="00A175F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>Badania wyrobów preizolowanych</w:t>
      </w:r>
    </w:p>
    <w:p w14:paraId="0000004F" w14:textId="77777777" w:rsidR="0058235A" w:rsidRDefault="00A175F2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 xml:space="preserve"> Zamawiający zastrzega sobie prawo do:</w:t>
      </w:r>
    </w:p>
    <w:p w14:paraId="00000050" w14:textId="77777777" w:rsidR="0058235A" w:rsidRDefault="00A175F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>- kontroli jakości materiałów i komponentów oraz procesu produkcyjnego na każdym jego etapie. Dostawca powinien powiadomić zamawiającego o rozpoczęciu produkcji,</w:t>
      </w:r>
    </w:p>
    <w:p w14:paraId="00000051" w14:textId="77777777" w:rsidR="0058235A" w:rsidRDefault="00A175F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>- odbioru jakościowego przed wysłaniem partii wyrobów (zespół kontrolny 2 – 3 osoby, przejazdy i pobyt u producenta na koszt dostawcy/ producenta).</w:t>
      </w:r>
    </w:p>
    <w:p w14:paraId="00000052" w14:textId="77777777" w:rsidR="0058235A" w:rsidRDefault="00A175F2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 xml:space="preserve"> Zamawiający zastrzega sobie prawo na każdym etapie realizacji umowy do kontroli, polegającej na przeprowadzeniu badań próbek pobranych z partii wyrobów z otrzymanych materiałów preizolowanych (jako partię wyrobów rozumie się komplet materiałów preizolowanych dla odrębnego zadania inwestycyjnego) w Laboratorium Badawczym Veolia Energia Warszawa S.A. lub innym posiadającym akredytację.</w:t>
      </w:r>
    </w:p>
    <w:p w14:paraId="00000053" w14:textId="77777777" w:rsidR="0058235A" w:rsidRDefault="00A175F2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 xml:space="preserve"> Celem badań jest sprawdzenie wybranych własności dostarczonych nowych wyrobów i porównanie wyników z wymaganiami określonymi w KDWU.</w:t>
      </w:r>
    </w:p>
    <w:p w14:paraId="00000054" w14:textId="77777777" w:rsidR="0058235A" w:rsidRDefault="00A175F2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 xml:space="preserve"> Wykazanie niezgodności może skutkować dla Dostawcy/ Producenta:</w:t>
      </w:r>
    </w:p>
    <w:p w14:paraId="00000055" w14:textId="77777777" w:rsidR="0058235A" w:rsidRDefault="00A175F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>- obciążeniem kosztami badań.,</w:t>
      </w:r>
    </w:p>
    <w:p w14:paraId="00000056" w14:textId="77777777" w:rsidR="0058235A" w:rsidRDefault="00A175F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>- odrzuceniem partii wyrobów lub obniżeniem wartości wynagrodzenia za partię materiałów, w której wykryto wady.</w:t>
      </w:r>
    </w:p>
    <w:p w14:paraId="00000057" w14:textId="77777777" w:rsidR="0058235A" w:rsidRDefault="00A175F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>Elementy preizolowane mają być dostarczane w taki sposób, aby umożliwić rozładunek mechaniczny. Opakowanie nie podlega zwrotowi (dotyczy również palet).</w:t>
      </w:r>
    </w:p>
    <w:p w14:paraId="00000058" w14:textId="77777777" w:rsidR="0058235A" w:rsidRDefault="0058235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szCs w:val="22"/>
        </w:rPr>
      </w:pPr>
    </w:p>
    <w:p w14:paraId="00000059" w14:textId="77777777" w:rsidR="0058235A" w:rsidRDefault="0058235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szCs w:val="22"/>
        </w:rPr>
      </w:pPr>
    </w:p>
    <w:p w14:paraId="0000005A" w14:textId="77777777" w:rsidR="0058235A" w:rsidRDefault="00A175F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Calibri" w:eastAsia="Calibri" w:hAnsi="Calibri" w:cs="Calibri"/>
          <w:color w:val="00000A"/>
          <w:szCs w:val="22"/>
          <w:u w:val="single"/>
        </w:rPr>
      </w:pPr>
      <w:r>
        <w:rPr>
          <w:rFonts w:ascii="Calibri" w:eastAsia="Calibri" w:hAnsi="Calibri" w:cs="Calibri"/>
          <w:b/>
          <w:bCs/>
          <w:color w:val="00000A"/>
          <w:szCs w:val="22"/>
          <w:u w:val="single"/>
        </w:rPr>
        <w:t>Załączniki:</w:t>
      </w:r>
    </w:p>
    <w:p w14:paraId="0000005B" w14:textId="34FB43A1" w:rsidR="0058235A" w:rsidRDefault="00A175F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color w:val="00000A"/>
          <w:szCs w:val="22"/>
        </w:rPr>
      </w:pPr>
      <w:r>
        <w:rPr>
          <w:rFonts w:ascii="Calibri" w:eastAsia="Calibri" w:hAnsi="Calibri" w:cs="Calibri"/>
          <w:color w:val="00000A"/>
          <w:szCs w:val="22"/>
        </w:rPr>
        <w:t xml:space="preserve">Załącznik nr 1. </w:t>
      </w:r>
      <w:r>
        <w:rPr>
          <w:rFonts w:ascii="Calibri" w:eastAsia="Calibri" w:hAnsi="Calibri" w:cs="Calibri"/>
          <w:color w:val="00000A"/>
          <w:szCs w:val="22"/>
        </w:rPr>
        <w:tab/>
        <w:t>Zestawienie rur i elementów preizolowanych</w:t>
      </w:r>
      <w:r w:rsidR="00131E36">
        <w:rPr>
          <w:rFonts w:ascii="Calibri" w:eastAsia="Calibri" w:hAnsi="Calibri" w:cs="Calibri"/>
          <w:color w:val="00000A"/>
          <w:szCs w:val="22"/>
        </w:rPr>
        <w:t xml:space="preserve"> </w:t>
      </w:r>
      <w:r w:rsidR="00131E36" w:rsidRPr="00131E36">
        <w:rPr>
          <w:rFonts w:ascii="Calibri" w:eastAsia="Calibri" w:hAnsi="Calibri" w:cs="Calibri"/>
          <w:i/>
          <w:iCs/>
          <w:color w:val="00000A"/>
          <w:szCs w:val="22"/>
        </w:rPr>
        <w:t xml:space="preserve">(zał. nr 1A do </w:t>
      </w:r>
      <w:r w:rsidR="00261CEA">
        <w:rPr>
          <w:rFonts w:ascii="Calibri" w:eastAsia="Calibri" w:hAnsi="Calibri" w:cs="Calibri"/>
          <w:i/>
          <w:iCs/>
          <w:color w:val="00000A"/>
          <w:szCs w:val="22"/>
        </w:rPr>
        <w:t xml:space="preserve">Cz. </w:t>
      </w:r>
      <w:r w:rsidR="00131E36" w:rsidRPr="00131E36">
        <w:rPr>
          <w:rFonts w:ascii="Calibri" w:eastAsia="Calibri" w:hAnsi="Calibri" w:cs="Calibri"/>
          <w:i/>
          <w:iCs/>
          <w:color w:val="00000A"/>
          <w:szCs w:val="22"/>
        </w:rPr>
        <w:t>I SWZ)</w:t>
      </w:r>
      <w:r>
        <w:rPr>
          <w:rFonts w:ascii="Calibri" w:eastAsia="Calibri" w:hAnsi="Calibri" w:cs="Calibri"/>
          <w:color w:val="00000A"/>
          <w:szCs w:val="22"/>
        </w:rPr>
        <w:t xml:space="preserve">. </w:t>
      </w:r>
    </w:p>
    <w:p w14:paraId="0000005C" w14:textId="60192F68" w:rsidR="0058235A" w:rsidRDefault="00A175F2">
      <w:pPr>
        <w:spacing w:line="276" w:lineRule="auto"/>
        <w:ind w:left="0" w:hanging="2"/>
        <w:jc w:val="both"/>
        <w:rPr>
          <w:rFonts w:ascii="Calibri" w:eastAsia="Calibri" w:hAnsi="Calibri" w:cs="Calibri"/>
          <w:color w:val="00000A"/>
          <w:szCs w:val="22"/>
        </w:rPr>
      </w:pPr>
      <w:r>
        <w:rPr>
          <w:rFonts w:ascii="Calibri" w:eastAsia="Calibri" w:hAnsi="Calibri" w:cs="Calibri"/>
          <w:color w:val="00000A"/>
          <w:szCs w:val="22"/>
        </w:rPr>
        <w:t>Załącznik nr 1A. Parametry równoważne</w:t>
      </w:r>
    </w:p>
    <w:p w14:paraId="0000005D" w14:textId="77777777" w:rsidR="0058235A" w:rsidRDefault="00A175F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color w:val="00000A"/>
          <w:szCs w:val="22"/>
        </w:rPr>
      </w:pPr>
      <w:r>
        <w:rPr>
          <w:rFonts w:ascii="Calibri" w:eastAsia="Calibri" w:hAnsi="Calibri" w:cs="Calibri"/>
          <w:color w:val="00000A"/>
          <w:szCs w:val="22"/>
        </w:rPr>
        <w:t xml:space="preserve">Załącznik nr 2. </w:t>
      </w:r>
      <w:r>
        <w:rPr>
          <w:rFonts w:ascii="Calibri" w:eastAsia="Calibri" w:hAnsi="Calibri" w:cs="Calibri"/>
          <w:color w:val="00000A"/>
          <w:szCs w:val="22"/>
        </w:rPr>
        <w:tab/>
        <w:t>Schemat montażowy / tylko wersja elektroniczna/,</w:t>
      </w:r>
    </w:p>
    <w:p w14:paraId="0000005E" w14:textId="77777777" w:rsidR="0058235A" w:rsidRDefault="00A175F2">
      <w:pPr>
        <w:pBdr>
          <w:top w:val="nil"/>
          <w:left w:val="nil"/>
          <w:bottom w:val="nil"/>
          <w:right w:val="nil"/>
          <w:between w:val="nil"/>
        </w:pBdr>
        <w:spacing w:line="288" w:lineRule="auto"/>
        <w:ind w:left="0" w:hanging="2"/>
        <w:jc w:val="both"/>
        <w:rPr>
          <w:rFonts w:ascii="Calibri" w:eastAsia="Calibri" w:hAnsi="Calibri" w:cs="Calibri"/>
          <w:szCs w:val="22"/>
        </w:rPr>
      </w:pPr>
      <w:r>
        <w:rPr>
          <w:rFonts w:ascii="Calibri" w:eastAsia="Calibri" w:hAnsi="Calibri" w:cs="Calibri"/>
          <w:szCs w:val="22"/>
        </w:rPr>
        <w:t xml:space="preserve">Załącznik nr 2a. </w:t>
      </w:r>
      <w:r>
        <w:rPr>
          <w:rFonts w:ascii="Calibri" w:eastAsia="Calibri" w:hAnsi="Calibri" w:cs="Calibri"/>
          <w:szCs w:val="22"/>
        </w:rPr>
        <w:tab/>
        <w:t>Profile s.c. i przyłącza s.c. / tylko wersja elektroniczna/,</w:t>
      </w:r>
    </w:p>
    <w:p w14:paraId="0000005F" w14:textId="77777777" w:rsidR="0058235A" w:rsidRDefault="00A175F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color w:val="00000A"/>
          <w:szCs w:val="22"/>
        </w:rPr>
      </w:pPr>
      <w:r>
        <w:rPr>
          <w:rFonts w:ascii="Calibri" w:eastAsia="Calibri" w:hAnsi="Calibri" w:cs="Calibri"/>
          <w:color w:val="00000A"/>
          <w:szCs w:val="22"/>
        </w:rPr>
        <w:t xml:space="preserve">Załącznik nr 3. </w:t>
      </w:r>
      <w:r>
        <w:rPr>
          <w:rFonts w:ascii="Calibri" w:eastAsia="Calibri" w:hAnsi="Calibri" w:cs="Calibri"/>
          <w:color w:val="00000A"/>
          <w:szCs w:val="22"/>
        </w:rPr>
        <w:tab/>
      </w:r>
      <w:r>
        <w:rPr>
          <w:rFonts w:ascii="Calibri" w:eastAsia="Calibri" w:hAnsi="Calibri" w:cs="Calibri"/>
          <w:i/>
          <w:iCs/>
          <w:color w:val="00000A"/>
          <w:szCs w:val="22"/>
        </w:rPr>
        <w:t>Eksploatacyjne wytyczne projektowania oraz wykonania rurociągów preizolowanych w osłonie PE-HD – Część I - Wymagania techniczne</w:t>
      </w:r>
    </w:p>
    <w:p w14:paraId="00000060" w14:textId="77777777" w:rsidR="0058235A" w:rsidRDefault="00A175F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color w:val="00000A"/>
          <w:szCs w:val="22"/>
        </w:rPr>
      </w:pPr>
      <w:r>
        <w:rPr>
          <w:rFonts w:ascii="Calibri" w:eastAsia="Calibri" w:hAnsi="Calibri" w:cs="Calibri"/>
          <w:color w:val="00000A"/>
          <w:szCs w:val="22"/>
        </w:rPr>
        <w:t xml:space="preserve">Załącznik nr 3A. </w:t>
      </w:r>
      <w:r>
        <w:rPr>
          <w:rFonts w:ascii="Calibri" w:eastAsia="Calibri" w:hAnsi="Calibri" w:cs="Calibri"/>
          <w:color w:val="00000A"/>
          <w:szCs w:val="22"/>
        </w:rPr>
        <w:tab/>
        <w:t>Specyfikacja techniczna: Rury i elementy preizolowane w osłonie PE-HD</w:t>
      </w:r>
    </w:p>
    <w:p w14:paraId="00000061" w14:textId="77777777" w:rsidR="0058235A" w:rsidRDefault="00A175F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color w:val="00000A"/>
          <w:szCs w:val="22"/>
        </w:rPr>
      </w:pPr>
      <w:r>
        <w:rPr>
          <w:rFonts w:ascii="Calibri" w:eastAsia="Calibri" w:hAnsi="Calibri" w:cs="Calibri"/>
          <w:color w:val="00000A"/>
          <w:szCs w:val="22"/>
        </w:rPr>
        <w:t xml:space="preserve">Załącznik nr 4. </w:t>
      </w:r>
      <w:r>
        <w:rPr>
          <w:rFonts w:ascii="Calibri" w:eastAsia="Calibri" w:hAnsi="Calibri" w:cs="Calibri"/>
          <w:color w:val="00000A"/>
          <w:szCs w:val="22"/>
        </w:rPr>
        <w:tab/>
      </w:r>
      <w:r>
        <w:rPr>
          <w:rFonts w:ascii="Calibri" w:eastAsia="Calibri" w:hAnsi="Calibri" w:cs="Calibri"/>
          <w:i/>
          <w:iCs/>
          <w:color w:val="00000A"/>
          <w:szCs w:val="22"/>
        </w:rPr>
        <w:t>Eksploatacyjne wytyczne projektowania oraz wykonania rurociągów preizolowanych w osłonie PE-HD – Część II – Projektowanie i montaż</w:t>
      </w:r>
    </w:p>
    <w:p w14:paraId="00000062" w14:textId="77777777" w:rsidR="0058235A" w:rsidRDefault="00A175F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color w:val="00000A"/>
          <w:szCs w:val="22"/>
        </w:rPr>
      </w:pPr>
      <w:r>
        <w:rPr>
          <w:rFonts w:ascii="Calibri" w:eastAsia="Calibri" w:hAnsi="Calibri" w:cs="Calibri"/>
          <w:color w:val="00000A"/>
          <w:szCs w:val="22"/>
        </w:rPr>
        <w:t xml:space="preserve">Załącznik nr 5. </w:t>
      </w:r>
      <w:r>
        <w:rPr>
          <w:rFonts w:ascii="Calibri" w:eastAsia="Calibri" w:hAnsi="Calibri" w:cs="Calibri"/>
          <w:color w:val="00000A"/>
          <w:szCs w:val="22"/>
        </w:rPr>
        <w:tab/>
        <w:t xml:space="preserve">Wymagania techniczne oraz Specyfikacja techniczna dla izolacji termicznych przeznaczonych do stosowania na rurociągach w.s.c. </w:t>
      </w:r>
    </w:p>
    <w:p w14:paraId="00000063" w14:textId="77777777" w:rsidR="0058235A" w:rsidRDefault="00A175F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color w:val="00000A"/>
          <w:szCs w:val="22"/>
          <w:highlight w:val="yellow"/>
        </w:rPr>
      </w:pPr>
      <w:r>
        <w:rPr>
          <w:rFonts w:ascii="Calibri" w:eastAsia="Calibri" w:hAnsi="Calibri" w:cs="Calibri"/>
          <w:color w:val="00000A"/>
          <w:szCs w:val="22"/>
        </w:rPr>
        <w:t xml:space="preserve">Załącznik nr 6. Wymagania techniczne oraz Specyfikacja techniczna dla kurków kulowych przeznaczonych do montażu w w.s.c. </w:t>
      </w:r>
    </w:p>
    <w:p w14:paraId="00000064" w14:textId="77777777" w:rsidR="0058235A" w:rsidRDefault="00A175F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color w:val="00000A"/>
          <w:szCs w:val="22"/>
        </w:rPr>
      </w:pPr>
      <w:r>
        <w:rPr>
          <w:rFonts w:ascii="Calibri" w:eastAsia="Calibri" w:hAnsi="Calibri" w:cs="Calibri"/>
          <w:color w:val="00000A"/>
          <w:szCs w:val="22"/>
        </w:rPr>
        <w:t>Załącznik nr 7. Wymagania techniczne oraz Specyfikacja techniczna dla przepustnic zaporowo-regulujących przeznaczonych do montażu w w.s.c.</w:t>
      </w:r>
    </w:p>
    <w:p w14:paraId="00000065" w14:textId="77777777" w:rsidR="0058235A" w:rsidRDefault="00A175F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szCs w:val="22"/>
          <w:highlight w:val="cyan"/>
        </w:rPr>
      </w:pPr>
      <w:r>
        <w:rPr>
          <w:rFonts w:ascii="Calibri" w:eastAsia="Calibri" w:hAnsi="Calibri" w:cs="Calibri"/>
          <w:color w:val="00000A"/>
          <w:szCs w:val="22"/>
        </w:rPr>
        <w:t xml:space="preserve">Załącznik nr 8. </w:t>
      </w:r>
      <w:r>
        <w:rPr>
          <w:rFonts w:ascii="Calibri" w:eastAsia="Calibri" w:hAnsi="Calibri" w:cs="Calibri"/>
          <w:color w:val="00000A"/>
          <w:szCs w:val="22"/>
        </w:rPr>
        <w:tab/>
        <w:t>Wymagania techniczne dla armatury zaporowej i regulującej przeznaczonej do montażu w wysokoparametrowych rurociągach wodnych w.s.c.</w:t>
      </w:r>
    </w:p>
    <w:p w14:paraId="00000066" w14:textId="77777777" w:rsidR="0058235A" w:rsidRDefault="0058235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libri" w:eastAsia="Calibri" w:hAnsi="Calibri" w:cs="Calibri"/>
          <w:color w:val="00000A"/>
          <w:szCs w:val="22"/>
        </w:rPr>
      </w:pPr>
    </w:p>
    <w:sectPr w:rsidR="0058235A">
      <w:headerReference w:type="even" r:id="rId8"/>
      <w:headerReference w:type="default" r:id="rId9"/>
      <w:footerReference w:type="even" r:id="rId10"/>
      <w:footerReference w:type="default" r:id="rId11"/>
      <w:pgSz w:w="11906" w:h="16838"/>
      <w:pgMar w:top="851" w:right="991" w:bottom="426" w:left="1684" w:header="0" w:footer="737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96BB06C" w14:textId="77777777" w:rsidR="008D480E" w:rsidRDefault="008D480E">
      <w:pPr>
        <w:spacing w:line="240" w:lineRule="auto"/>
        <w:ind w:left="0" w:hanging="2"/>
      </w:pPr>
      <w:r>
        <w:separator/>
      </w:r>
    </w:p>
  </w:endnote>
  <w:endnote w:type="continuationSeparator" w:id="0">
    <w:p w14:paraId="5B7A738C" w14:textId="77777777" w:rsidR="008D480E" w:rsidRDefault="008D480E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B1DDAA00-FA4F-46AB-A7B3-8C8CFE23547D}"/>
    <w:embedBold r:id="rId2" w:fontKey="{4ED2261E-67A9-4348-9E7D-AC2486109212}"/>
    <w:embedItalic r:id="rId3" w:fontKey="{3B5B675D-E43C-4327-AA2D-D09603D2E823}"/>
    <w:embedBoldItalic r:id="rId4" w:fontKey="{28011F3F-61DE-41B4-9B82-25CBFA8E141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ヒラギノ角ゴ Pro W3">
    <w:altName w:val="Yu Gothic"/>
    <w:panose1 w:val="00000000000000000000"/>
    <w:charset w:val="80"/>
    <w:family w:val="roman"/>
    <w:notTrueType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86069D8E-B935-4035-AEF0-CB0E8C4539A1}"/>
    <w:embedBoldItalic r:id="rId6" w:fontKey="{519215D0-555B-4434-BA57-93712A59DF2D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7" w:fontKey="{FAACB47C-3CE6-4D93-9778-10BDA633AF90}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8" w:fontKey="{3A1680EA-6989-4D6D-AFA0-1D6BEFBA760A}"/>
    <w:embedItalic r:id="rId9" w:fontKey="{DD8A489B-D047-42C9-B613-B97A4709BF04}"/>
  </w:font>
  <w:font w:name="font312">
    <w:panose1 w:val="00000000000000000000"/>
    <w:charset w:val="00"/>
    <w:family w:val="roman"/>
    <w:notTrueType/>
    <w:pitch w:val="default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10" w:fontKey="{0621D722-C3FE-474B-90C0-C5F6CFAF99E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6A" w14:textId="1D3F60AD" w:rsidR="0058235A" w:rsidRDefault="00A175F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right" w:pos="8778"/>
      </w:tabs>
      <w:spacing w:line="240" w:lineRule="auto"/>
      <w:ind w:left="0" w:hanging="2"/>
      <w:jc w:val="center"/>
      <w:rPr>
        <w:rFonts w:eastAsia="Arial"/>
        <w:szCs w:val="22"/>
      </w:rPr>
    </w:pPr>
    <w:r>
      <w:rPr>
        <w:rFonts w:eastAsia="Arial"/>
        <w:szCs w:val="22"/>
      </w:rPr>
      <w:fldChar w:fldCharType="begin"/>
    </w:r>
    <w:r>
      <w:rPr>
        <w:rFonts w:eastAsia="Arial"/>
        <w:szCs w:val="22"/>
      </w:rPr>
      <w:instrText>PAGE</w:instrText>
    </w:r>
    <w:r>
      <w:rPr>
        <w:rFonts w:eastAsia="Arial"/>
        <w:szCs w:val="22"/>
      </w:rPr>
      <w:fldChar w:fldCharType="separate"/>
    </w:r>
    <w:r w:rsidR="00AA26D7">
      <w:rPr>
        <w:rFonts w:eastAsia="Arial"/>
        <w:noProof/>
        <w:szCs w:val="22"/>
      </w:rPr>
      <w:t>2</w:t>
    </w:r>
    <w:r>
      <w:rPr>
        <w:rFonts w:eastAsia="Arial"/>
        <w:szCs w:val="22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69" w14:textId="4E1BD822" w:rsidR="0058235A" w:rsidRDefault="00A175F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right" w:pos="8778"/>
      </w:tabs>
      <w:spacing w:line="240" w:lineRule="auto"/>
      <w:ind w:left="0" w:hanging="2"/>
      <w:jc w:val="center"/>
      <w:rPr>
        <w:rFonts w:eastAsia="Arial"/>
        <w:szCs w:val="22"/>
      </w:rPr>
    </w:pPr>
    <w:r>
      <w:rPr>
        <w:rFonts w:eastAsia="Arial"/>
        <w:szCs w:val="22"/>
      </w:rPr>
      <w:fldChar w:fldCharType="begin"/>
    </w:r>
    <w:r>
      <w:rPr>
        <w:rFonts w:eastAsia="Arial"/>
        <w:szCs w:val="22"/>
      </w:rPr>
      <w:instrText>PAGE</w:instrText>
    </w:r>
    <w:r>
      <w:rPr>
        <w:rFonts w:eastAsia="Arial"/>
        <w:szCs w:val="22"/>
      </w:rPr>
      <w:fldChar w:fldCharType="separate"/>
    </w:r>
    <w:r w:rsidR="00AA26D7">
      <w:rPr>
        <w:rFonts w:eastAsia="Arial"/>
        <w:noProof/>
        <w:szCs w:val="22"/>
      </w:rPr>
      <w:t>1</w:t>
    </w:r>
    <w:r>
      <w:rPr>
        <w:rFonts w:eastAsia="Arial"/>
        <w:szCs w:val="22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1D0A7F" w14:textId="77777777" w:rsidR="008D480E" w:rsidRDefault="008D480E">
      <w:pPr>
        <w:spacing w:line="240" w:lineRule="auto"/>
        <w:ind w:left="0" w:hanging="2"/>
      </w:pPr>
      <w:r>
        <w:separator/>
      </w:r>
    </w:p>
  </w:footnote>
  <w:footnote w:type="continuationSeparator" w:id="0">
    <w:p w14:paraId="27DDE7B7" w14:textId="77777777" w:rsidR="008D480E" w:rsidRDefault="008D480E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68" w14:textId="77777777" w:rsidR="0058235A" w:rsidRDefault="00A175F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right" w:pos="8778"/>
      </w:tabs>
      <w:spacing w:line="240" w:lineRule="auto"/>
      <w:ind w:left="0" w:hanging="2"/>
      <w:rPr>
        <w:rFonts w:eastAsia="Arial"/>
        <w:szCs w:val="22"/>
      </w:rPr>
    </w:pPr>
    <w:r>
      <w:rPr>
        <w:rFonts w:eastAsia="Arial"/>
        <w:szCs w:val="22"/>
      </w:rP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67" w14:textId="77777777" w:rsidR="0058235A" w:rsidRDefault="0058235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right" w:pos="8778"/>
      </w:tabs>
      <w:spacing w:line="240" w:lineRule="auto"/>
      <w:ind w:left="0" w:hanging="2"/>
      <w:rPr>
        <w:rFonts w:eastAsia="Arial"/>
        <w:szCs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280BAB"/>
    <w:multiLevelType w:val="multilevel"/>
    <w:tmpl w:val="C360B816"/>
    <w:lvl w:ilvl="0">
      <w:start w:val="1"/>
      <w:numFmt w:val="decimal"/>
      <w:lvlText w:val="%1."/>
      <w:lvlJc w:val="left"/>
      <w:pPr>
        <w:ind w:left="360" w:hanging="360"/>
      </w:pPr>
      <w:rPr>
        <w:vertAlign w:val="baseline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vertAlign w:val="baseline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vertAlign w:val="baseline"/>
      </w:rPr>
    </w:lvl>
    <w:lvl w:ilvl="3">
      <w:start w:val="1"/>
      <w:numFmt w:val="decimal"/>
      <w:lvlText w:val="%1.%2.%3.%4."/>
      <w:lvlJc w:val="left"/>
      <w:pPr>
        <w:ind w:left="1728" w:hanging="647"/>
      </w:pPr>
      <w:rPr>
        <w:vertAlign w:val="baseline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vertAlign w:val="baseline"/>
      </w:rPr>
    </w:lvl>
    <w:lvl w:ilvl="5">
      <w:start w:val="1"/>
      <w:numFmt w:val="decimal"/>
      <w:lvlText w:val="%1.%2.%3.%4.%5.%6."/>
      <w:lvlJc w:val="left"/>
      <w:pPr>
        <w:ind w:left="2736" w:hanging="935"/>
      </w:pPr>
      <w:rPr>
        <w:vertAlign w:val="baseline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vertAlign w:val="baseline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vertAlign w:val="baseline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vertAlign w:val="baseline"/>
      </w:rPr>
    </w:lvl>
  </w:abstractNum>
  <w:abstractNum w:abstractNumId="1" w15:restartNumberingAfterBreak="0">
    <w:nsid w:val="6F0F5E4A"/>
    <w:multiLevelType w:val="multilevel"/>
    <w:tmpl w:val="FB129380"/>
    <w:lvl w:ilvl="0">
      <w:start w:val="1"/>
      <w:numFmt w:val="decimal"/>
      <w:lvlText w:val="%1."/>
      <w:lvlJc w:val="left"/>
      <w:pPr>
        <w:ind w:left="1080" w:hanging="360"/>
      </w:pPr>
      <w:rPr>
        <w:rFonts w:ascii="Calibri" w:eastAsia="Calibri" w:hAnsi="Calibri" w:cs="Calibri"/>
        <w:b/>
        <w:bCs/>
        <w:shd w:val="clear" w:color="auto" w:fill="auto"/>
        <w:vertAlign w:val="baseline"/>
      </w:rPr>
    </w:lvl>
    <w:lvl w:ilvl="1">
      <w:start w:val="1"/>
      <w:numFmt w:val="lowerLetter"/>
      <w:lvlText w:val="%2."/>
      <w:lvlJc w:val="left"/>
      <w:pPr>
        <w:ind w:left="180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52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24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68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40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840" w:hanging="180"/>
      </w:pPr>
      <w:rPr>
        <w:vertAlign w:val="baseline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8235A"/>
    <w:rsid w:val="000C7129"/>
    <w:rsid w:val="00131E36"/>
    <w:rsid w:val="00261CEA"/>
    <w:rsid w:val="003720BF"/>
    <w:rsid w:val="003A1395"/>
    <w:rsid w:val="0058235A"/>
    <w:rsid w:val="005B2D8B"/>
    <w:rsid w:val="00853DD9"/>
    <w:rsid w:val="00864770"/>
    <w:rsid w:val="008C5A26"/>
    <w:rsid w:val="008D480E"/>
    <w:rsid w:val="00A175F2"/>
    <w:rsid w:val="00AA26D7"/>
    <w:rsid w:val="00FF72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D47C56"/>
  <w15:docId w15:val="{8E6C720B-7CA4-4973-8684-B8D318DD1D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ヒラギノ角ゴ Pro W3" w:hAnsi="Arial" w:cs="Arial"/>
      <w:color w:val="000000"/>
      <w:position w:val="-1"/>
      <w:sz w:val="22"/>
      <w:szCs w:val="24"/>
      <w:lang w:val="pl-PL" w:eastAsia="ar-SA"/>
    </w:r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suppressAutoHyphens/>
      <w:spacing w:before="240" w:after="60"/>
      <w:outlineLvl w:val="1"/>
    </w:pPr>
    <w:rPr>
      <w:rFonts w:ascii="Cambria" w:eastAsia="Times New Roman" w:hAnsi="Cambria" w:cs="Times New Roman"/>
      <w:b/>
      <w:bCs/>
      <w:i/>
      <w:iCs/>
      <w:color w:val="auto"/>
      <w:sz w:val="28"/>
      <w:szCs w:val="28"/>
      <w:lang w:eastAsia="pl-PL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suppressAutoHyphens/>
      <w:spacing w:before="240" w:after="60"/>
      <w:outlineLvl w:val="2"/>
    </w:pPr>
    <w:rPr>
      <w:rFonts w:eastAsia="Times New Roman" w:cs="Times New Roman"/>
      <w:b/>
      <w:bCs/>
      <w:color w:val="auto"/>
      <w:sz w:val="26"/>
      <w:szCs w:val="26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WW8Num1z0">
    <w:name w:val="WW8Num1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1">
    <w:name w:val="WW8Num1z1"/>
    <w:rPr>
      <w:rFonts w:ascii="Arial" w:hAnsi="Arial" w:cs="Arial"/>
      <w:b/>
      <w:bCs/>
      <w:color w:val="00000A"/>
      <w:w w:val="100"/>
      <w:position w:val="-1"/>
      <w:effect w:val="none"/>
      <w:shd w:val="clear" w:color="auto" w:fill="FFFF00"/>
      <w:vertAlign w:val="baseline"/>
      <w:cs w:val="0"/>
      <w:em w:val="none"/>
      <w:lang w:val="pl-PL"/>
    </w:rPr>
  </w:style>
  <w:style w:type="character" w:customStyle="1" w:styleId="WW8Num1z2">
    <w:name w:val="WW8Num1z2"/>
    <w:rPr>
      <w:b w:val="0"/>
      <w:color w:val="00000A"/>
      <w:w w:val="100"/>
      <w:position w:val="-1"/>
      <w:effect w:val="none"/>
      <w:vertAlign w:val="baseline"/>
      <w:cs w:val="0"/>
      <w:em w:val="none"/>
    </w:rPr>
  </w:style>
  <w:style w:type="character" w:customStyle="1" w:styleId="WW8Num1z4">
    <w:name w:val="WW8Num1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5">
    <w:name w:val="WW8Num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6">
    <w:name w:val="WW8Num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7">
    <w:name w:val="WW8Num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8">
    <w:name w:val="WW8Num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0">
    <w:name w:val="WW8Num2z0"/>
    <w:rPr>
      <w:b w:val="0"/>
      <w:color w:val="00000A"/>
      <w:w w:val="100"/>
      <w:position w:val="-1"/>
      <w:effect w:val="none"/>
      <w:vertAlign w:val="baseline"/>
      <w:cs w:val="0"/>
      <w:em w:val="none"/>
    </w:rPr>
  </w:style>
  <w:style w:type="character" w:customStyle="1" w:styleId="WW8Num2z1">
    <w:name w:val="WW8Num2z1"/>
    <w:rPr>
      <w:color w:val="00000A"/>
      <w:w w:val="100"/>
      <w:position w:val="-1"/>
      <w:effect w:val="none"/>
      <w:vertAlign w:val="baseline"/>
      <w:cs w:val="0"/>
      <w:em w:val="none"/>
    </w:rPr>
  </w:style>
  <w:style w:type="character" w:customStyle="1" w:styleId="WW8Num2z2">
    <w:name w:val="WW8Num2z2"/>
    <w:rPr>
      <w:color w:val="FF0000"/>
      <w:w w:val="100"/>
      <w:position w:val="-1"/>
      <w:effect w:val="none"/>
      <w:vertAlign w:val="baseline"/>
      <w:cs w:val="0"/>
      <w:em w:val="none"/>
    </w:rPr>
  </w:style>
  <w:style w:type="character" w:customStyle="1" w:styleId="WW8Num2z4">
    <w:name w:val="WW8Num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5">
    <w:name w:val="WW8Num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6">
    <w:name w:val="WW8Num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7">
    <w:name w:val="WW8Num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8">
    <w:name w:val="WW8Num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0">
    <w:name w:val="WW8Num3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1">
    <w:name w:val="WW8Num3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2">
    <w:name w:val="WW8Num3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3">
    <w:name w:val="WW8Num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4">
    <w:name w:val="WW8Num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5">
    <w:name w:val="WW8Num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6">
    <w:name w:val="WW8Num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7">
    <w:name w:val="WW8Num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8">
    <w:name w:val="WW8Num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Domylnaczcionkaakapitu1">
    <w:name w:val="Domyślna czcionka akapitu1"/>
    <w:rPr>
      <w:w w:val="100"/>
      <w:position w:val="-1"/>
      <w:effect w:val="none"/>
      <w:vertAlign w:val="baseline"/>
      <w:cs w:val="0"/>
      <w:em w:val="none"/>
    </w:rPr>
  </w:style>
  <w:style w:type="character" w:customStyle="1" w:styleId="NagwekZnak">
    <w:name w:val="Nagłówek Znak"/>
    <w:rPr>
      <w:rFonts w:ascii="Arial" w:eastAsia="ヒラギノ角ゴ Pro W3" w:hAnsi="Arial" w:cs="Arial"/>
      <w:color w:val="000000"/>
      <w:w w:val="100"/>
      <w:position w:val="-1"/>
      <w:sz w:val="22"/>
      <w:szCs w:val="24"/>
      <w:effect w:val="none"/>
      <w:vertAlign w:val="baseline"/>
      <w:cs w:val="0"/>
      <w:em w:val="none"/>
      <w:lang w:val="en-US"/>
    </w:rPr>
  </w:style>
  <w:style w:type="character" w:customStyle="1" w:styleId="StopkaZnak">
    <w:name w:val="Stopka Znak"/>
    <w:rPr>
      <w:rFonts w:ascii="Arial" w:eastAsia="ヒラギノ角ゴ Pro W3" w:hAnsi="Arial" w:cs="Arial"/>
      <w:color w:val="000000"/>
      <w:w w:val="100"/>
      <w:position w:val="-1"/>
      <w:sz w:val="22"/>
      <w:szCs w:val="24"/>
      <w:effect w:val="none"/>
      <w:vertAlign w:val="baseline"/>
      <w:cs w:val="0"/>
      <w:em w:val="none"/>
      <w:lang w:val="en-US"/>
    </w:rPr>
  </w:style>
  <w:style w:type="character" w:customStyle="1" w:styleId="TekstdymkaZnak">
    <w:name w:val="Tekst dymka Znak"/>
    <w:rPr>
      <w:rFonts w:ascii="Tahoma" w:eastAsia="ヒラギノ角ゴ Pro W3" w:hAnsi="Tahoma" w:cs="Tahoma"/>
      <w:color w:val="000000"/>
      <w:w w:val="100"/>
      <w:position w:val="-1"/>
      <w:sz w:val="16"/>
      <w:szCs w:val="16"/>
      <w:effect w:val="none"/>
      <w:vertAlign w:val="baseline"/>
      <w:cs w:val="0"/>
      <w:em w:val="none"/>
      <w:lang w:val="en-US"/>
    </w:rPr>
  </w:style>
  <w:style w:type="character" w:customStyle="1" w:styleId="ListLabel1">
    <w:name w:val="ListLabel 1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2">
    <w:name w:val="ListLabel 2"/>
    <w:rPr>
      <w:color w:val="00000A"/>
      <w:w w:val="100"/>
      <w:position w:val="-1"/>
      <w:effect w:val="none"/>
      <w:vertAlign w:val="baseline"/>
      <w:cs w:val="0"/>
      <w:em w:val="none"/>
    </w:rPr>
  </w:style>
  <w:style w:type="character" w:customStyle="1" w:styleId="ListLabel3">
    <w:name w:val="ListLabel 3"/>
    <w:rPr>
      <w:b w:val="0"/>
      <w:color w:val="00000A"/>
      <w:w w:val="100"/>
      <w:position w:val="-1"/>
      <w:effect w:val="none"/>
      <w:vertAlign w:val="baseline"/>
      <w:cs w:val="0"/>
      <w:em w:val="none"/>
    </w:rPr>
  </w:style>
  <w:style w:type="character" w:customStyle="1" w:styleId="ListLabel4">
    <w:name w:val="ListLabel 4"/>
    <w:rPr>
      <w:color w:val="FF0000"/>
      <w:w w:val="100"/>
      <w:position w:val="-1"/>
      <w:effect w:val="none"/>
      <w:vertAlign w:val="baseline"/>
      <w:cs w:val="0"/>
      <w:em w:val="none"/>
    </w:rPr>
  </w:style>
  <w:style w:type="character" w:customStyle="1" w:styleId="TekstdymkaZnak1">
    <w:name w:val="Tekst dymka Znak1"/>
    <w:rPr>
      <w:rFonts w:ascii="Tahoma" w:eastAsia="ヒラギノ角ゴ Pro W3" w:hAnsi="Tahoma" w:cs="Tahoma"/>
      <w:color w:val="000000"/>
      <w:w w:val="100"/>
      <w:position w:val="-1"/>
      <w:sz w:val="16"/>
      <w:szCs w:val="16"/>
      <w:effect w:val="none"/>
      <w:vertAlign w:val="baseline"/>
      <w:cs w:val="0"/>
      <w:em w:val="none"/>
      <w:lang w:val="en-US"/>
    </w:rPr>
  </w:style>
  <w:style w:type="paragraph" w:customStyle="1" w:styleId="Nagwek30">
    <w:name w:val="Nagłówek3"/>
    <w:basedOn w:val="Normalny"/>
    <w:next w:val="Tekstpodstawowy"/>
    <w:pPr>
      <w:keepNext/>
      <w:spacing w:before="240" w:after="120"/>
    </w:pPr>
    <w:rPr>
      <w:rFonts w:eastAsia="Microsoft YaHei" w:cs="Mangal"/>
      <w:sz w:val="28"/>
      <w:szCs w:val="28"/>
    </w:rPr>
  </w:style>
  <w:style w:type="paragraph" w:styleId="Tekstpodstawowy">
    <w:name w:val="Body Text"/>
    <w:basedOn w:val="Normalny"/>
    <w:pPr>
      <w:spacing w:after="120"/>
    </w:pPr>
  </w:style>
  <w:style w:type="paragraph" w:styleId="Lista">
    <w:name w:val="List"/>
    <w:basedOn w:val="Tekstpodstawowy"/>
    <w:rPr>
      <w:rFonts w:cs="Mangal"/>
    </w:rPr>
  </w:style>
  <w:style w:type="paragraph" w:customStyle="1" w:styleId="Podpis2">
    <w:name w:val="Podpis2"/>
    <w:basedOn w:val="Normalny"/>
    <w:pPr>
      <w:suppressLineNumbers/>
      <w:spacing w:before="120" w:after="120"/>
    </w:pPr>
    <w:rPr>
      <w:rFonts w:cs="Mangal"/>
      <w:i/>
      <w:iCs/>
      <w:sz w:val="24"/>
    </w:rPr>
  </w:style>
  <w:style w:type="paragraph" w:customStyle="1" w:styleId="Indeks">
    <w:name w:val="Indeks"/>
    <w:basedOn w:val="Normalny"/>
    <w:pPr>
      <w:suppressLineNumbers/>
    </w:pPr>
    <w:rPr>
      <w:rFonts w:cs="Mangal"/>
    </w:rPr>
  </w:style>
  <w:style w:type="paragraph" w:customStyle="1" w:styleId="Nagwek20">
    <w:name w:val="Nagłówek2"/>
    <w:basedOn w:val="Normalny"/>
    <w:next w:val="Tekstpodstawowy"/>
    <w:pPr>
      <w:keepNext/>
      <w:spacing w:before="240" w:after="120"/>
    </w:pPr>
    <w:rPr>
      <w:rFonts w:eastAsia="Microsoft YaHei" w:cs="Mangal"/>
      <w:sz w:val="28"/>
      <w:szCs w:val="28"/>
    </w:rPr>
  </w:style>
  <w:style w:type="paragraph" w:customStyle="1" w:styleId="Podpis1">
    <w:name w:val="Podpis1"/>
    <w:basedOn w:val="Normalny"/>
    <w:pPr>
      <w:suppressLineNumbers/>
      <w:spacing w:before="120" w:after="120"/>
    </w:pPr>
    <w:rPr>
      <w:rFonts w:cs="Mangal"/>
      <w:i/>
      <w:iCs/>
      <w:sz w:val="24"/>
    </w:rPr>
  </w:style>
  <w:style w:type="paragraph" w:customStyle="1" w:styleId="Nagwek10">
    <w:name w:val="Nagłówek1"/>
    <w:pPr>
      <w:tabs>
        <w:tab w:val="center" w:pos="4536"/>
        <w:tab w:val="right" w:pos="9072"/>
      </w:tabs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ヒラギノ角ゴ Pro W3" w:hAnsi="Arial" w:cs="Arial"/>
      <w:color w:val="000000"/>
      <w:position w:val="-1"/>
      <w:sz w:val="22"/>
      <w:lang w:val="en-US" w:eastAsia="ar-SA"/>
    </w:rPr>
  </w:style>
  <w:style w:type="paragraph" w:customStyle="1" w:styleId="Stopka1">
    <w:name w:val="Stopka1"/>
    <w:pPr>
      <w:tabs>
        <w:tab w:val="center" w:pos="4536"/>
        <w:tab w:val="right" w:pos="9072"/>
      </w:tabs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ヒラギノ角ゴ Pro W3" w:hAnsi="Arial" w:cs="Arial"/>
      <w:color w:val="000000"/>
      <w:position w:val="-1"/>
      <w:sz w:val="22"/>
      <w:lang w:val="en-US" w:eastAsia="ar-SA"/>
    </w:rPr>
  </w:style>
  <w:style w:type="paragraph" w:styleId="Nagwek">
    <w:name w:val="header"/>
    <w:basedOn w:val="Normalny"/>
    <w:pPr>
      <w:suppressLineNumbers/>
      <w:tabs>
        <w:tab w:val="center" w:pos="4536"/>
        <w:tab w:val="right" w:pos="9072"/>
      </w:tabs>
      <w:ind w:left="0" w:firstLine="0"/>
    </w:pPr>
  </w:style>
  <w:style w:type="paragraph" w:styleId="Stopka">
    <w:name w:val="footer"/>
    <w:basedOn w:val="Normalny"/>
    <w:pPr>
      <w:suppressLineNumbers/>
      <w:tabs>
        <w:tab w:val="center" w:pos="4536"/>
        <w:tab w:val="right" w:pos="9072"/>
      </w:tabs>
      <w:ind w:left="0" w:firstLine="0"/>
    </w:pPr>
  </w:style>
  <w:style w:type="paragraph" w:styleId="Tekstdymka">
    <w:name w:val="Balloon Text"/>
    <w:basedOn w:val="Normalny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pPr>
      <w:ind w:left="708"/>
    </w:pPr>
  </w:style>
  <w:style w:type="character" w:customStyle="1" w:styleId="Nagwek3Znak">
    <w:name w:val="Nagłówek 3 Znak"/>
    <w:rPr>
      <w:rFonts w:ascii="Arial" w:hAnsi="Arial"/>
      <w:b/>
      <w:bCs/>
      <w:w w:val="100"/>
      <w:position w:val="-1"/>
      <w:sz w:val="26"/>
      <w:szCs w:val="26"/>
      <w:effect w:val="none"/>
      <w:vertAlign w:val="baseline"/>
      <w:cs w:val="0"/>
      <w:em w:val="none"/>
    </w:rPr>
  </w:style>
  <w:style w:type="paragraph" w:styleId="Tekstpodstawowy3">
    <w:name w:val="Body Text 3"/>
    <w:basedOn w:val="Normalny"/>
    <w:pPr>
      <w:suppressAutoHyphens/>
      <w:spacing w:after="120"/>
    </w:pPr>
    <w:rPr>
      <w:rFonts w:ascii="Times New Roman" w:eastAsia="Times New Roman" w:hAnsi="Times New Roman" w:cs="Times New Roman"/>
      <w:color w:val="auto"/>
      <w:sz w:val="16"/>
      <w:szCs w:val="16"/>
    </w:rPr>
  </w:style>
  <w:style w:type="character" w:customStyle="1" w:styleId="Tekstpodstawowy3Znak">
    <w:name w:val="Tekst podstawowy 3 Znak"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customStyle="1" w:styleId="BodyText21">
    <w:name w:val="Body Text 21"/>
    <w:basedOn w:val="Normalny"/>
    <w:pPr>
      <w:tabs>
        <w:tab w:val="left" w:pos="900"/>
      </w:tabs>
      <w:suppressAutoHyphens/>
      <w:spacing w:line="360" w:lineRule="atLeast"/>
      <w:jc w:val="both"/>
    </w:pPr>
    <w:rPr>
      <w:rFonts w:ascii="Times New Roman" w:eastAsia="Times New Roman" w:hAnsi="Times New Roman" w:cs="Times New Roman"/>
      <w:color w:val="auto"/>
      <w:szCs w:val="20"/>
      <w:lang w:eastAsia="pl-PL"/>
    </w:rPr>
  </w:style>
  <w:style w:type="character" w:customStyle="1" w:styleId="Nagwek2Znak">
    <w:name w:val="Nagłówek 2 Znak"/>
    <w:rPr>
      <w:rFonts w:ascii="Cambria" w:hAnsi="Cambria"/>
      <w:b/>
      <w:bCs/>
      <w:i/>
      <w:iCs/>
      <w:w w:val="100"/>
      <w:position w:val="-1"/>
      <w:sz w:val="28"/>
      <w:szCs w:val="28"/>
      <w:effect w:val="none"/>
      <w:vertAlign w:val="baseline"/>
      <w:cs w:val="0"/>
      <w:em w:val="none"/>
    </w:rPr>
  </w:style>
  <w:style w:type="character" w:styleId="Odwoaniedokomentarza">
    <w:name w:val="annotation reference"/>
    <w:qFormat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Tekstkomentarza">
    <w:name w:val="annotation text"/>
    <w:basedOn w:val="Normalny"/>
    <w:qFormat/>
    <w:rPr>
      <w:rFonts w:ascii="Times New Roman" w:eastAsia="Times New Roman" w:hAnsi="Times New Roman" w:cs="Times New Roman"/>
      <w:color w:val="auto"/>
      <w:sz w:val="20"/>
      <w:szCs w:val="20"/>
    </w:rPr>
  </w:style>
  <w:style w:type="character" w:customStyle="1" w:styleId="TekstkomentarzaZnak">
    <w:name w:val="Tekst komentarza Znak"/>
    <w:rPr>
      <w:w w:val="100"/>
      <w:position w:val="-1"/>
      <w:effect w:val="none"/>
      <w:vertAlign w:val="baseline"/>
      <w:cs w:val="0"/>
      <w:em w:val="none"/>
      <w:lang w:eastAsia="ar-SA"/>
    </w:rPr>
  </w:style>
  <w:style w:type="paragraph" w:customStyle="1" w:styleId="Tekstpodstawowy31">
    <w:name w:val="Tekst podstawowy 31"/>
    <w:basedOn w:val="Normalny"/>
    <w:pPr>
      <w:suppressAutoHyphens/>
      <w:spacing w:after="120"/>
    </w:pPr>
    <w:rPr>
      <w:rFonts w:ascii="Times New Roman" w:eastAsia="Times New Roman" w:hAnsi="Times New Roman" w:cs="Times New Roman"/>
      <w:color w:val="auto"/>
      <w:sz w:val="16"/>
      <w:szCs w:val="16"/>
    </w:rPr>
  </w:style>
  <w:style w:type="character" w:styleId="Odwoanieprzypisudolnego">
    <w:name w:val="footnote reference"/>
    <w:rPr>
      <w:w w:val="100"/>
      <w:position w:val="-1"/>
      <w:effect w:val="none"/>
      <w:vertAlign w:val="superscript"/>
      <w:cs w:val="0"/>
      <w:em w:val="none"/>
    </w:rPr>
  </w:style>
  <w:style w:type="paragraph" w:styleId="Tekstprzypisudolnego">
    <w:name w:val="footnote text"/>
    <w:basedOn w:val="Normalny"/>
    <w:pPr>
      <w:suppressAutoHyphens/>
      <w:spacing w:line="300" w:lineRule="auto"/>
      <w:jc w:val="both"/>
    </w:pPr>
    <w:rPr>
      <w:rFonts w:ascii="Times New Roman" w:eastAsia="Calibri" w:hAnsi="Times New Roman" w:cs="Times New Roman"/>
      <w:color w:val="auto"/>
      <w:sz w:val="20"/>
      <w:szCs w:val="20"/>
      <w:lang w:eastAsia="pl-PL"/>
    </w:rPr>
  </w:style>
  <w:style w:type="character" w:customStyle="1" w:styleId="TekstprzypisudolnegoZnak">
    <w:name w:val="Tekst przypisu dolnego Znak"/>
    <w:rPr>
      <w:w w:val="100"/>
      <w:position w:val="-1"/>
      <w:effect w:val="none"/>
      <w:vertAlign w:val="baseline"/>
      <w:cs w:val="0"/>
      <w:em w:val="none"/>
    </w:rPr>
  </w:style>
  <w:style w:type="character" w:styleId="Hipercze">
    <w:name w:val="Hyperlink"/>
    <w:rPr>
      <w:color w:val="000080"/>
      <w:w w:val="100"/>
      <w:position w:val="-1"/>
      <w:u w:val="single"/>
      <w:effect w:val="none"/>
      <w:vertAlign w:val="baseline"/>
      <w:cs w:val="0"/>
      <w:em w:val="none"/>
    </w:rPr>
  </w:style>
  <w:style w:type="paragraph" w:customStyle="1" w:styleId="Akapitzlist1">
    <w:name w:val="Akapit z listą1"/>
    <w:basedOn w:val="Normalny"/>
    <w:pPr>
      <w:spacing w:after="200" w:line="276" w:lineRule="auto"/>
      <w:ind w:left="720"/>
    </w:pPr>
    <w:rPr>
      <w:rFonts w:ascii="Calibri" w:hAnsi="Calibri" w:cs="font312"/>
      <w:color w:val="00000A"/>
      <w:szCs w:val="22"/>
    </w:rPr>
  </w:style>
  <w:style w:type="paragraph" w:styleId="Tekstpodstawowywcity">
    <w:name w:val="Body Text Indent"/>
    <w:basedOn w:val="Normalny"/>
    <w:qFormat/>
    <w:pPr>
      <w:spacing w:after="120"/>
      <w:ind w:left="283"/>
    </w:pPr>
  </w:style>
  <w:style w:type="character" w:customStyle="1" w:styleId="TekstpodstawowywcityZnak">
    <w:name w:val="Tekst podstawowy wcięty Znak"/>
    <w:rPr>
      <w:rFonts w:ascii="Arial" w:eastAsia="ヒラギノ角ゴ Pro W3" w:hAnsi="Arial" w:cs="Arial"/>
      <w:color w:val="000000"/>
      <w:w w:val="100"/>
      <w:position w:val="-1"/>
      <w:sz w:val="22"/>
      <w:szCs w:val="24"/>
      <w:effect w:val="none"/>
      <w:vertAlign w:val="baseline"/>
      <w:cs w:val="0"/>
      <w:em w:val="none"/>
      <w:lang w:val="en-US" w:eastAsia="ar-SA"/>
    </w:rPr>
  </w:style>
  <w:style w:type="table" w:styleId="Tabela-Siatka">
    <w:name w:val="Table Grid"/>
    <w:basedOn w:val="Standardowy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dLaNGx+6Anxva4e8I9RwunqH6pw==">CgMxLjAyCWguMnU2d250ZjIIaC5namRneHM4AHIhMUlzbFZoVno2eHpuazVEcWZ6M2h2T0VQcFJNM1NiRlp1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4</Pages>
  <Words>1748</Words>
  <Characters>10492</Characters>
  <Application>Microsoft Office Word</Application>
  <DocSecurity>0</DocSecurity>
  <Lines>87</Lines>
  <Paragraphs>24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dunaj</dc:creator>
  <cp:lastModifiedBy>Pyk Małgorzata - ADICT</cp:lastModifiedBy>
  <cp:revision>9</cp:revision>
  <dcterms:created xsi:type="dcterms:W3CDTF">2024-02-16T09:01:00Z</dcterms:created>
  <dcterms:modified xsi:type="dcterms:W3CDTF">2026-03-25T10:16:00Z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Dalkia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